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1B88" w14:textId="6A837CDA" w:rsidR="00991948" w:rsidRPr="00202167" w:rsidRDefault="00734BAF">
      <w:pPr>
        <w:spacing w:after="0" w:line="259" w:lineRule="auto"/>
        <w:ind w:left="50" w:firstLine="0"/>
        <w:jc w:val="center"/>
        <w:rPr>
          <w:szCs w:val="24"/>
        </w:rPr>
      </w:pPr>
      <w:r w:rsidRPr="00202167">
        <w:rPr>
          <w:szCs w:val="24"/>
        </w:rPr>
        <w:t xml:space="preserve"> </w:t>
      </w:r>
    </w:p>
    <w:p w14:paraId="1545DEA4" w14:textId="19B9F137" w:rsidR="0053056C" w:rsidRPr="00202167" w:rsidRDefault="00734BAF" w:rsidP="0053056C">
      <w:pPr>
        <w:spacing w:after="120" w:line="259" w:lineRule="auto"/>
        <w:ind w:left="0" w:firstLine="0"/>
        <w:jc w:val="center"/>
        <w:rPr>
          <w:sz w:val="36"/>
          <w:szCs w:val="36"/>
        </w:rPr>
      </w:pPr>
      <w:r w:rsidRPr="00202167">
        <w:rPr>
          <w:sz w:val="36"/>
          <w:szCs w:val="36"/>
        </w:rPr>
        <w:t xml:space="preserve">NJOFTIM MBI ANULIMIN E </w:t>
      </w:r>
      <w:r w:rsidR="007465DE">
        <w:rPr>
          <w:sz w:val="36"/>
          <w:szCs w:val="36"/>
        </w:rPr>
        <w:t>PROCEDURËS</w:t>
      </w:r>
      <w:r w:rsidR="007465DE" w:rsidRPr="00202167">
        <w:rPr>
          <w:sz w:val="36"/>
          <w:szCs w:val="36"/>
        </w:rPr>
        <w:t xml:space="preserve"> </w:t>
      </w:r>
      <w:r w:rsidR="007465DE">
        <w:rPr>
          <w:sz w:val="36"/>
          <w:szCs w:val="36"/>
        </w:rPr>
        <w:t>S</w:t>
      </w:r>
      <w:r w:rsidRPr="00202167">
        <w:rPr>
          <w:sz w:val="36"/>
          <w:szCs w:val="36"/>
        </w:rPr>
        <w:t>Ë PROKURIMIT</w:t>
      </w:r>
    </w:p>
    <w:p w14:paraId="7F2ACAED" w14:textId="5050B34D" w:rsidR="00202167" w:rsidRPr="00F17726" w:rsidRDefault="00F17726" w:rsidP="00202167">
      <w:pPr>
        <w:spacing w:after="0" w:line="259" w:lineRule="auto"/>
        <w:rPr>
          <w:i/>
          <w:iCs/>
          <w:szCs w:val="24"/>
        </w:rPr>
      </w:pPr>
      <w:r w:rsidRPr="00F17726">
        <w:rPr>
          <w:i/>
          <w:iCs/>
        </w:rPr>
        <w:t>Në përputhje me nenin 40, paragrafi 2 të “Rregullës</w:t>
      </w:r>
      <w:r w:rsidR="00860D89">
        <w:rPr>
          <w:i/>
          <w:iCs/>
        </w:rPr>
        <w:t xml:space="preserve"> </w:t>
      </w:r>
      <w:r w:rsidRPr="00F17726">
        <w:rPr>
          <w:i/>
          <w:iCs/>
        </w:rPr>
        <w:t>së Prokurimit në Bankën Qendrore të Republikës së Kosovës” (shator 2021)</w:t>
      </w:r>
    </w:p>
    <w:p w14:paraId="243F096C" w14:textId="77777777" w:rsidR="0044258F" w:rsidRPr="00202167" w:rsidRDefault="0044258F" w:rsidP="00202167">
      <w:pPr>
        <w:spacing w:after="0" w:line="259" w:lineRule="auto"/>
        <w:rPr>
          <w:i/>
          <w:szCs w:val="24"/>
        </w:rPr>
      </w:pPr>
    </w:p>
    <w:p w14:paraId="7113483E" w14:textId="77777777" w:rsidR="00054F26" w:rsidRDefault="00054F26" w:rsidP="00202167">
      <w:pPr>
        <w:spacing w:after="0" w:line="259" w:lineRule="auto"/>
        <w:rPr>
          <w:bCs/>
          <w:iCs/>
          <w:szCs w:val="24"/>
        </w:rPr>
      </w:pPr>
    </w:p>
    <w:p w14:paraId="5C155985" w14:textId="5C5CD990" w:rsidR="008F6CA0" w:rsidRPr="00202167" w:rsidRDefault="008F6CA0" w:rsidP="00202167">
      <w:pPr>
        <w:spacing w:after="0" w:line="259" w:lineRule="auto"/>
        <w:rPr>
          <w:bCs/>
          <w:iCs/>
          <w:szCs w:val="24"/>
        </w:rPr>
      </w:pPr>
      <w:r w:rsidRPr="00202167">
        <w:rPr>
          <w:bCs/>
          <w:iCs/>
          <w:szCs w:val="24"/>
        </w:rPr>
        <w:t>Dat</w:t>
      </w:r>
      <w:r w:rsidR="0044258F">
        <w:rPr>
          <w:bCs/>
          <w:iCs/>
          <w:szCs w:val="24"/>
        </w:rPr>
        <w:t>a</w:t>
      </w:r>
      <w:r w:rsidRPr="00202167">
        <w:rPr>
          <w:bCs/>
          <w:iCs/>
          <w:szCs w:val="24"/>
        </w:rPr>
        <w:t xml:space="preserve">: </w:t>
      </w:r>
      <w:r w:rsidR="00860C5A">
        <w:rPr>
          <w:bCs/>
          <w:iCs/>
          <w:szCs w:val="24"/>
        </w:rPr>
        <w:t>12.11</w:t>
      </w:r>
      <w:r w:rsidR="00801F99">
        <w:rPr>
          <w:bCs/>
          <w:iCs/>
          <w:szCs w:val="24"/>
        </w:rPr>
        <w:t>.2024</w:t>
      </w:r>
    </w:p>
    <w:p w14:paraId="42B29E72" w14:textId="5BDAC21B" w:rsidR="00991948" w:rsidRPr="00202167" w:rsidRDefault="00991948">
      <w:pPr>
        <w:spacing w:after="0" w:line="259" w:lineRule="auto"/>
        <w:ind w:left="0" w:firstLine="0"/>
        <w:jc w:val="left"/>
        <w:rPr>
          <w:bCs/>
          <w:iCs/>
          <w:szCs w:val="24"/>
        </w:rPr>
      </w:pPr>
    </w:p>
    <w:p w14:paraId="54D1FDE0" w14:textId="17056E84" w:rsidR="00B93358" w:rsidRDefault="00B93358" w:rsidP="00B93358">
      <w:pPr>
        <w:pStyle w:val="ListParagraph"/>
        <w:numPr>
          <w:ilvl w:val="0"/>
          <w:numId w:val="3"/>
        </w:numPr>
        <w:ind w:left="360" w:hanging="360"/>
        <w:rPr>
          <w:bCs/>
          <w:iCs/>
          <w:szCs w:val="24"/>
        </w:rPr>
      </w:pPr>
      <w:r>
        <w:rPr>
          <w:bCs/>
          <w:iCs/>
          <w:szCs w:val="24"/>
        </w:rPr>
        <w:t>“</w:t>
      </w:r>
      <w:r w:rsidR="00734BAF" w:rsidRPr="00202167">
        <w:rPr>
          <w:bCs/>
          <w:iCs/>
          <w:szCs w:val="24"/>
        </w:rPr>
        <w:t>Banka Qendrore e Republikës së Kosovës</w:t>
      </w:r>
      <w:r>
        <w:rPr>
          <w:bCs/>
          <w:iCs/>
          <w:szCs w:val="24"/>
        </w:rPr>
        <w:t xml:space="preserve">”, </w:t>
      </w:r>
      <w:r w:rsidR="00734BAF" w:rsidRPr="00B93358">
        <w:rPr>
          <w:bCs/>
          <w:iCs/>
          <w:szCs w:val="24"/>
        </w:rPr>
        <w:t>Adresa: Rr. “</w:t>
      </w:r>
      <w:proofErr w:type="spellStart"/>
      <w:r w:rsidR="00734BAF" w:rsidRPr="00B93358">
        <w:rPr>
          <w:bCs/>
          <w:iCs/>
          <w:szCs w:val="24"/>
        </w:rPr>
        <w:t>Garibaldi</w:t>
      </w:r>
      <w:proofErr w:type="spellEnd"/>
      <w:r w:rsidR="00734BAF" w:rsidRPr="00B93358">
        <w:rPr>
          <w:bCs/>
          <w:iCs/>
          <w:szCs w:val="24"/>
        </w:rPr>
        <w:t xml:space="preserve">” 33, 10000 Prishtinë </w:t>
      </w:r>
    </w:p>
    <w:p w14:paraId="466D8642" w14:textId="77777777" w:rsidR="00B93358" w:rsidRDefault="00B93358" w:rsidP="00B93358">
      <w:pPr>
        <w:pStyle w:val="ListParagraph"/>
        <w:ind w:left="360" w:firstLine="0"/>
        <w:rPr>
          <w:bCs/>
          <w:iCs/>
          <w:szCs w:val="24"/>
        </w:rPr>
      </w:pPr>
    </w:p>
    <w:p w14:paraId="61BE5F52" w14:textId="64527B3A" w:rsidR="00B93358" w:rsidRDefault="00734BAF" w:rsidP="00FE4D63">
      <w:pPr>
        <w:pStyle w:val="ListParagraph"/>
        <w:numPr>
          <w:ilvl w:val="0"/>
          <w:numId w:val="3"/>
        </w:numPr>
        <w:spacing w:after="0" w:line="360" w:lineRule="auto"/>
        <w:ind w:left="360" w:hanging="360"/>
        <w:rPr>
          <w:bCs/>
          <w:iCs/>
          <w:szCs w:val="24"/>
        </w:rPr>
      </w:pPr>
      <w:r w:rsidRPr="00B93358">
        <w:rPr>
          <w:bCs/>
          <w:iCs/>
          <w:szCs w:val="24"/>
        </w:rPr>
        <w:t>L</w:t>
      </w:r>
      <w:r w:rsidR="00B93358">
        <w:rPr>
          <w:bCs/>
          <w:iCs/>
          <w:szCs w:val="24"/>
        </w:rPr>
        <w:t xml:space="preserve">ënda e </w:t>
      </w:r>
      <w:r w:rsidR="00054F26">
        <w:rPr>
          <w:bCs/>
          <w:iCs/>
          <w:szCs w:val="24"/>
        </w:rPr>
        <w:t>procedurës s</w:t>
      </w:r>
      <w:r w:rsidR="00FE4D63">
        <w:rPr>
          <w:bCs/>
          <w:iCs/>
          <w:szCs w:val="24"/>
        </w:rPr>
        <w:t>ë prokurimit</w:t>
      </w:r>
      <w:r w:rsidR="00B93358">
        <w:rPr>
          <w:bCs/>
          <w:iCs/>
          <w:szCs w:val="24"/>
        </w:rPr>
        <w:t>:</w:t>
      </w:r>
    </w:p>
    <w:p w14:paraId="0FAA62A7" w14:textId="3B057786" w:rsidR="00202167" w:rsidRPr="00B93358" w:rsidRDefault="00B93358" w:rsidP="00396EC7">
      <w:pPr>
        <w:jc w:val="left"/>
        <w:rPr>
          <w:bCs/>
          <w:iCs/>
          <w:szCs w:val="24"/>
        </w:rPr>
      </w:pPr>
      <w:r w:rsidRPr="0044258F">
        <w:rPr>
          <w:b/>
          <w:iCs/>
          <w:color w:val="0D0D0D"/>
          <w:szCs w:val="24"/>
        </w:rPr>
        <w:t>II.1</w:t>
      </w:r>
      <w:r>
        <w:rPr>
          <w:bCs/>
          <w:iCs/>
          <w:color w:val="0D0D0D"/>
          <w:szCs w:val="24"/>
        </w:rPr>
        <w:t xml:space="preserve"> </w:t>
      </w:r>
      <w:r w:rsidR="00734BAF" w:rsidRPr="00B93358">
        <w:rPr>
          <w:bCs/>
          <w:iCs/>
          <w:color w:val="0D0D0D"/>
          <w:szCs w:val="24"/>
        </w:rPr>
        <w:t>Titulli i kontratës</w:t>
      </w:r>
      <w:r w:rsidR="00734BAF" w:rsidRPr="00B93358">
        <w:rPr>
          <w:rFonts w:eastAsia="Arial"/>
          <w:bCs/>
          <w:iCs/>
          <w:color w:val="0D0D0D"/>
          <w:szCs w:val="24"/>
        </w:rPr>
        <w:t>:</w:t>
      </w:r>
      <w:r w:rsidR="0027435F">
        <w:rPr>
          <w:rFonts w:eastAsia="Arial"/>
          <w:bCs/>
          <w:iCs/>
          <w:color w:val="0D0D0D"/>
          <w:szCs w:val="24"/>
        </w:rPr>
        <w:t xml:space="preserve"> “</w:t>
      </w:r>
      <w:r w:rsidR="0027435F">
        <w:t xml:space="preserve">Shërbime të </w:t>
      </w:r>
      <w:proofErr w:type="spellStart"/>
      <w:r w:rsidR="0027435F">
        <w:t>auditimit</w:t>
      </w:r>
      <w:proofErr w:type="spellEnd"/>
      <w:r w:rsidR="0027435F">
        <w:t xml:space="preserve"> të jashtëm”</w:t>
      </w:r>
      <w:r w:rsidR="00054F26">
        <w:t xml:space="preserve"> (</w:t>
      </w:r>
      <w:proofErr w:type="spellStart"/>
      <w:r w:rsidR="00054F26">
        <w:t>Ritenderim</w:t>
      </w:r>
      <w:proofErr w:type="spellEnd"/>
      <w:r w:rsidR="00054F26">
        <w:t>)</w:t>
      </w:r>
    </w:p>
    <w:p w14:paraId="21813797" w14:textId="6D780260" w:rsidR="00202167" w:rsidRPr="00801F99" w:rsidRDefault="001B0C1E" w:rsidP="00801F99">
      <w:pPr>
        <w:rPr>
          <w:szCs w:val="24"/>
        </w:rPr>
      </w:pPr>
      <w:r w:rsidRPr="0044258F">
        <w:rPr>
          <w:b/>
          <w:iCs/>
          <w:szCs w:val="24"/>
        </w:rPr>
        <w:t>II.2</w:t>
      </w:r>
      <w:r>
        <w:rPr>
          <w:bCs/>
          <w:iCs/>
          <w:szCs w:val="24"/>
        </w:rPr>
        <w:t xml:space="preserve"> </w:t>
      </w:r>
      <w:r w:rsidR="00202167" w:rsidRPr="00202167">
        <w:rPr>
          <w:bCs/>
          <w:iCs/>
          <w:szCs w:val="24"/>
        </w:rPr>
        <w:t xml:space="preserve">Numërtimi i prokurimit: </w:t>
      </w:r>
      <w:r w:rsidR="00801F99" w:rsidRPr="00051B0C">
        <w:rPr>
          <w:szCs w:val="24"/>
        </w:rPr>
        <w:t xml:space="preserve">BQK </w:t>
      </w:r>
      <w:r w:rsidR="0027435F">
        <w:rPr>
          <w:szCs w:val="24"/>
        </w:rPr>
        <w:t>24 054</w:t>
      </w:r>
      <w:r w:rsidR="00860C5A">
        <w:rPr>
          <w:szCs w:val="24"/>
        </w:rPr>
        <w:t>.1</w:t>
      </w:r>
      <w:r w:rsidR="0027435F">
        <w:rPr>
          <w:szCs w:val="24"/>
        </w:rPr>
        <w:t xml:space="preserve"> 221</w:t>
      </w:r>
    </w:p>
    <w:p w14:paraId="2A8443FA" w14:textId="4E2785A1" w:rsidR="00991948" w:rsidRDefault="001B0C1E" w:rsidP="002C46A5">
      <w:pPr>
        <w:spacing w:line="276" w:lineRule="auto"/>
        <w:jc w:val="left"/>
        <w:rPr>
          <w:bCs/>
          <w:iCs/>
          <w:szCs w:val="24"/>
        </w:rPr>
      </w:pPr>
      <w:r w:rsidRPr="0044258F">
        <w:rPr>
          <w:b/>
          <w:iCs/>
          <w:szCs w:val="24"/>
        </w:rPr>
        <w:t>II.3</w:t>
      </w:r>
      <w:r>
        <w:rPr>
          <w:bCs/>
          <w:iCs/>
          <w:szCs w:val="24"/>
        </w:rPr>
        <w:t xml:space="preserve"> </w:t>
      </w:r>
      <w:r w:rsidR="00734BAF" w:rsidRPr="00202167">
        <w:rPr>
          <w:bCs/>
          <w:iCs/>
          <w:szCs w:val="24"/>
        </w:rPr>
        <w:t xml:space="preserve">Lloji i procedurës: </w:t>
      </w:r>
      <w:r w:rsidR="00801F99">
        <w:rPr>
          <w:bCs/>
          <w:iCs/>
          <w:szCs w:val="24"/>
        </w:rPr>
        <w:t>Procedurë e hapur</w:t>
      </w:r>
    </w:p>
    <w:p w14:paraId="2F7132D9" w14:textId="2E072160" w:rsidR="001B0C1E" w:rsidRDefault="001B0C1E" w:rsidP="002C46A5">
      <w:pPr>
        <w:spacing w:line="276" w:lineRule="auto"/>
        <w:jc w:val="left"/>
        <w:rPr>
          <w:bCs/>
          <w:iCs/>
          <w:szCs w:val="24"/>
        </w:rPr>
      </w:pPr>
      <w:r w:rsidRPr="0044258F">
        <w:rPr>
          <w:b/>
          <w:iCs/>
          <w:szCs w:val="24"/>
        </w:rPr>
        <w:t>II.4</w:t>
      </w:r>
      <w:r>
        <w:rPr>
          <w:bCs/>
          <w:iCs/>
          <w:szCs w:val="24"/>
        </w:rPr>
        <w:t xml:space="preserve"> Lloji i prokurimit: </w:t>
      </w:r>
      <w:r w:rsidR="00396EC7">
        <w:rPr>
          <w:bCs/>
          <w:iCs/>
          <w:szCs w:val="24"/>
        </w:rPr>
        <w:t>Shërbim</w:t>
      </w:r>
    </w:p>
    <w:p w14:paraId="0DD58844" w14:textId="4B4E3BDB" w:rsidR="00D5026E" w:rsidRDefault="004E1CCE" w:rsidP="004E1CCE">
      <w:pPr>
        <w:spacing w:after="0" w:line="259" w:lineRule="auto"/>
        <w:ind w:left="0" w:firstLine="0"/>
        <w:jc w:val="left"/>
        <w:rPr>
          <w:bCs/>
          <w:iCs/>
          <w:szCs w:val="24"/>
        </w:rPr>
      </w:pPr>
      <w:r>
        <w:rPr>
          <w:b/>
          <w:iCs/>
          <w:szCs w:val="24"/>
        </w:rPr>
        <w:t xml:space="preserve">II.5 </w:t>
      </w:r>
      <w:r w:rsidRPr="00202167">
        <w:rPr>
          <w:bCs/>
          <w:iCs/>
          <w:szCs w:val="24"/>
        </w:rPr>
        <w:t xml:space="preserve">Numri i tenderëve të pranuar: </w:t>
      </w:r>
      <w:r w:rsidR="00860C5A">
        <w:rPr>
          <w:bCs/>
          <w:iCs/>
          <w:szCs w:val="24"/>
        </w:rPr>
        <w:t>3</w:t>
      </w:r>
      <w:r w:rsidR="00AE1714">
        <w:rPr>
          <w:bCs/>
          <w:iCs/>
          <w:szCs w:val="24"/>
        </w:rPr>
        <w:t xml:space="preserve"> (</w:t>
      </w:r>
      <w:r w:rsidR="00860C5A">
        <w:rPr>
          <w:bCs/>
          <w:iCs/>
          <w:szCs w:val="24"/>
        </w:rPr>
        <w:t>tr</w:t>
      </w:r>
      <w:r w:rsidR="00054F26">
        <w:rPr>
          <w:bCs/>
          <w:iCs/>
          <w:szCs w:val="24"/>
        </w:rPr>
        <w:t>e</w:t>
      </w:r>
      <w:r w:rsidR="00AE1714">
        <w:rPr>
          <w:bCs/>
          <w:iCs/>
          <w:szCs w:val="24"/>
        </w:rPr>
        <w:t>)</w:t>
      </w:r>
    </w:p>
    <w:p w14:paraId="2F30959A" w14:textId="77777777" w:rsidR="00991948" w:rsidRPr="00202167" w:rsidRDefault="00734BAF">
      <w:pPr>
        <w:spacing w:after="0" w:line="259" w:lineRule="auto"/>
        <w:ind w:left="0" w:firstLine="0"/>
        <w:jc w:val="left"/>
        <w:rPr>
          <w:bCs/>
          <w:iCs/>
          <w:szCs w:val="24"/>
        </w:rPr>
      </w:pPr>
      <w:r w:rsidRPr="00202167">
        <w:rPr>
          <w:bCs/>
          <w:iCs/>
          <w:szCs w:val="24"/>
        </w:rPr>
        <w:t xml:space="preserve"> </w:t>
      </w:r>
    </w:p>
    <w:p w14:paraId="75E80F3B" w14:textId="5665606F" w:rsidR="00991948" w:rsidRPr="00202167" w:rsidRDefault="00B711F5" w:rsidP="00FE4D63">
      <w:pPr>
        <w:spacing w:line="360" w:lineRule="auto"/>
        <w:ind w:left="-5"/>
        <w:rPr>
          <w:bCs/>
          <w:iCs/>
          <w:szCs w:val="24"/>
        </w:rPr>
      </w:pPr>
      <w:r w:rsidRPr="0044258F">
        <w:rPr>
          <w:b/>
          <w:iCs/>
          <w:szCs w:val="24"/>
        </w:rPr>
        <w:t>III.</w:t>
      </w:r>
      <w:r w:rsidR="00514319" w:rsidRPr="00202167">
        <w:rPr>
          <w:bCs/>
          <w:iCs/>
          <w:szCs w:val="24"/>
        </w:rPr>
        <w:t xml:space="preserve">  A</w:t>
      </w:r>
      <w:r w:rsidR="001B0C1E">
        <w:rPr>
          <w:bCs/>
          <w:iCs/>
          <w:szCs w:val="24"/>
        </w:rPr>
        <w:t xml:space="preserve">nulimi i </w:t>
      </w:r>
      <w:r w:rsidR="007465DE">
        <w:rPr>
          <w:bCs/>
          <w:iCs/>
          <w:szCs w:val="24"/>
        </w:rPr>
        <w:t>procedurës s</w:t>
      </w:r>
      <w:r w:rsidR="001B0C1E">
        <w:rPr>
          <w:bCs/>
          <w:iCs/>
          <w:szCs w:val="24"/>
        </w:rPr>
        <w:t>ë prokurimit</w:t>
      </w:r>
      <w:r w:rsidRPr="00202167">
        <w:rPr>
          <w:bCs/>
          <w:iCs/>
          <w:szCs w:val="24"/>
        </w:rPr>
        <w:t>:</w:t>
      </w:r>
    </w:p>
    <w:p w14:paraId="3B8786E8" w14:textId="2BFECAF9" w:rsidR="001B0C1E" w:rsidRDefault="001B0C1E" w:rsidP="00601589">
      <w:pPr>
        <w:spacing w:after="0" w:line="276" w:lineRule="auto"/>
        <w:ind w:left="0" w:firstLine="0"/>
        <w:jc w:val="left"/>
        <w:rPr>
          <w:bCs/>
          <w:iCs/>
          <w:szCs w:val="24"/>
        </w:rPr>
      </w:pPr>
      <w:r w:rsidRPr="0044258F">
        <w:rPr>
          <w:b/>
          <w:iCs/>
          <w:szCs w:val="24"/>
        </w:rPr>
        <w:t>III.1</w:t>
      </w:r>
      <w:r>
        <w:rPr>
          <w:bCs/>
          <w:iCs/>
          <w:szCs w:val="24"/>
        </w:rPr>
        <w:t xml:space="preserve"> </w:t>
      </w:r>
      <w:r w:rsidR="00734BAF" w:rsidRPr="00202167">
        <w:rPr>
          <w:bCs/>
          <w:iCs/>
          <w:szCs w:val="24"/>
        </w:rPr>
        <w:t xml:space="preserve">Data e vendimit </w:t>
      </w:r>
      <w:bookmarkStart w:id="0" w:name="_Hlk174447393"/>
      <w:r w:rsidR="00734BAF" w:rsidRPr="00202167">
        <w:rPr>
          <w:bCs/>
          <w:iCs/>
          <w:szCs w:val="24"/>
        </w:rPr>
        <w:t xml:space="preserve">mbi anulimin e </w:t>
      </w:r>
      <w:bookmarkEnd w:id="0"/>
      <w:r w:rsidR="00054F26">
        <w:rPr>
          <w:bCs/>
          <w:iCs/>
          <w:szCs w:val="24"/>
        </w:rPr>
        <w:t>procedurës</w:t>
      </w:r>
      <w:r w:rsidR="00734BAF" w:rsidRPr="00202167">
        <w:rPr>
          <w:bCs/>
          <w:iCs/>
          <w:szCs w:val="24"/>
        </w:rPr>
        <w:t xml:space="preserve">: </w:t>
      </w:r>
      <w:r w:rsidR="00860C5A">
        <w:rPr>
          <w:bCs/>
          <w:iCs/>
          <w:szCs w:val="24"/>
        </w:rPr>
        <w:t>12.11</w:t>
      </w:r>
      <w:r w:rsidR="00801F99">
        <w:rPr>
          <w:bCs/>
          <w:iCs/>
          <w:szCs w:val="24"/>
        </w:rPr>
        <w:t>.2024</w:t>
      </w:r>
    </w:p>
    <w:p w14:paraId="7A67786E" w14:textId="30BD6298" w:rsidR="001C6B7B" w:rsidRDefault="00601589" w:rsidP="00601589">
      <w:pPr>
        <w:spacing w:after="0" w:line="276" w:lineRule="auto"/>
        <w:ind w:left="0" w:firstLine="0"/>
        <w:rPr>
          <w:bCs/>
          <w:iCs/>
          <w:szCs w:val="24"/>
        </w:rPr>
      </w:pPr>
      <w:r w:rsidRPr="00601589">
        <w:rPr>
          <w:b/>
          <w:iCs/>
          <w:szCs w:val="24"/>
        </w:rPr>
        <w:t>III.</w:t>
      </w:r>
      <w:r w:rsidR="00F17726">
        <w:rPr>
          <w:b/>
          <w:iCs/>
          <w:szCs w:val="24"/>
        </w:rPr>
        <w:t>2</w:t>
      </w:r>
      <w:r>
        <w:rPr>
          <w:bCs/>
          <w:iCs/>
          <w:szCs w:val="24"/>
        </w:rPr>
        <w:t xml:space="preserve"> </w:t>
      </w:r>
      <w:r w:rsidR="00F17726">
        <w:t xml:space="preserve">Arsyeja e anulimit: Në mungesë të ofertave </w:t>
      </w:r>
      <w:r w:rsidR="00396EC7">
        <w:t>të përshtatshme</w:t>
      </w:r>
      <w:r w:rsidR="007465DE">
        <w:t>. Asnjëra</w:t>
      </w:r>
      <w:r w:rsidR="00396EC7">
        <w:t xml:space="preserve"> </w:t>
      </w:r>
      <w:r w:rsidR="007465DE">
        <w:t xml:space="preserve">nga </w:t>
      </w:r>
      <w:r w:rsidR="00860C5A">
        <w:t xml:space="preserve">tri </w:t>
      </w:r>
      <w:r w:rsidR="007465DE">
        <w:t xml:space="preserve">ofertat e dorëzuara </w:t>
      </w:r>
      <w:r w:rsidR="00396EC7">
        <w:t xml:space="preserve">nuk </w:t>
      </w:r>
      <w:r w:rsidR="007465DE">
        <w:t>arritën t’</w:t>
      </w:r>
      <w:r w:rsidR="00396EC7">
        <w:t>i plotësojnë kriteret e përzgjedhjes të caktuara në njoftimin për kontratë dhe në dosje</w:t>
      </w:r>
      <w:r w:rsidR="00DF6D3E">
        <w:t>n e</w:t>
      </w:r>
      <w:r w:rsidR="00396EC7">
        <w:t xml:space="preserve"> tenderit</w:t>
      </w:r>
      <w:r w:rsidR="007465DE">
        <w:t xml:space="preserve"> BQK 24 054</w:t>
      </w:r>
      <w:r w:rsidR="00860C5A">
        <w:t>.1</w:t>
      </w:r>
      <w:r w:rsidR="007465DE">
        <w:t xml:space="preserve"> 221</w:t>
      </w:r>
      <w:r w:rsidR="00F17726">
        <w:t>. Si rezultat</w:t>
      </w:r>
      <w:r w:rsidR="00DF6D3E">
        <w:t xml:space="preserve">, </w:t>
      </w:r>
      <w:r w:rsidR="00F17726">
        <w:t>anulimi i kësaj procedure nga BQK bëhet në përputhje me “Rregullën e Prokurimit në BQK”, respektivisht sipas Nenit 40, paragrafi 2.</w:t>
      </w:r>
    </w:p>
    <w:p w14:paraId="5869B2CB" w14:textId="77777777" w:rsidR="00612D27" w:rsidRDefault="00612D27" w:rsidP="00601589">
      <w:pPr>
        <w:spacing w:after="0" w:line="276" w:lineRule="auto"/>
        <w:ind w:left="0" w:firstLine="0"/>
        <w:rPr>
          <w:bCs/>
          <w:iCs/>
          <w:szCs w:val="24"/>
        </w:rPr>
      </w:pPr>
    </w:p>
    <w:p w14:paraId="4C307C62" w14:textId="6A3F4061" w:rsidR="00612D27" w:rsidRPr="00294BC2" w:rsidRDefault="00612D27" w:rsidP="003A21D2">
      <w:pPr>
        <w:spacing w:line="360" w:lineRule="auto"/>
        <w:rPr>
          <w:bCs/>
          <w:szCs w:val="24"/>
        </w:rPr>
      </w:pPr>
      <w:r>
        <w:rPr>
          <w:b/>
          <w:bCs/>
          <w:szCs w:val="24"/>
        </w:rPr>
        <w:t>I</w:t>
      </w:r>
      <w:r w:rsidRPr="00294BC2">
        <w:rPr>
          <w:b/>
          <w:bCs/>
          <w:szCs w:val="24"/>
        </w:rPr>
        <w:t>V</w:t>
      </w:r>
      <w:r w:rsidRPr="00294BC2">
        <w:rPr>
          <w:bCs/>
          <w:szCs w:val="24"/>
        </w:rPr>
        <w:t xml:space="preserve">  A</w:t>
      </w:r>
      <w:r w:rsidR="00054F26">
        <w:rPr>
          <w:bCs/>
          <w:szCs w:val="24"/>
        </w:rPr>
        <w:t>nkesat</w:t>
      </w:r>
    </w:p>
    <w:p w14:paraId="4F174EA2" w14:textId="3DB53E95" w:rsidR="00612D27" w:rsidRPr="00202167" w:rsidRDefault="00194512" w:rsidP="00601589">
      <w:pPr>
        <w:spacing w:after="0" w:line="276" w:lineRule="auto"/>
        <w:ind w:left="0" w:firstLine="0"/>
        <w:rPr>
          <w:bCs/>
          <w:iCs/>
          <w:szCs w:val="24"/>
        </w:rPr>
      </w:pPr>
      <w:r>
        <w:t xml:space="preserve">Në përputhje me “Rregullën e Prokurimit në Bankën Qendrore të Republikës së Kosovës (shtator 2021)”, respektivisht sipas Neni 41 “Procedura e ankesës”, çdo palë e interesuar mund të bëjë ankesë pranë Bankës Qendrore: Rr </w:t>
      </w:r>
      <w:proofErr w:type="spellStart"/>
      <w:r>
        <w:t>Garibaldi</w:t>
      </w:r>
      <w:proofErr w:type="spellEnd"/>
      <w:r>
        <w:t xml:space="preserve"> 33, 10000 Prishtinë, www.bqk-kos.org, brenda 5 ditësh nga data e shpalljes së këtij njoftimi. Ankesa duhet të përmbajë të gjitha elementet e cekura si në dosjen e tenderit dhe fizikisht duhet të dorëzohet në </w:t>
      </w:r>
      <w:r w:rsidR="00054F26">
        <w:t>Arkivin</w:t>
      </w:r>
      <w:r>
        <w:t xml:space="preserve"> e BQK-së brenda afatit për t’u konsideruar e vlefshme. Në të kundërtën refuzohet menjëherë nga ana e BQK-së.</w:t>
      </w:r>
    </w:p>
    <w:p w14:paraId="6E840BC5" w14:textId="77777777" w:rsidR="00F565A4" w:rsidRPr="00202167" w:rsidRDefault="0053056C" w:rsidP="00153973">
      <w:pPr>
        <w:ind w:left="0" w:firstLine="0"/>
        <w:rPr>
          <w:bCs/>
          <w:iCs/>
          <w:szCs w:val="24"/>
        </w:rPr>
      </w:pPr>
      <w:r w:rsidRPr="00202167">
        <w:rPr>
          <w:bCs/>
          <w:iCs/>
          <w:szCs w:val="24"/>
        </w:rPr>
        <w:t xml:space="preserve">     </w:t>
      </w:r>
    </w:p>
    <w:p w14:paraId="682D59F0" w14:textId="1DEB0649" w:rsidR="00991948" w:rsidRPr="00202167" w:rsidRDefault="00991948">
      <w:pPr>
        <w:spacing w:after="8"/>
        <w:ind w:left="-5" w:right="4445"/>
        <w:jc w:val="left"/>
        <w:rPr>
          <w:bCs/>
          <w:iCs/>
          <w:szCs w:val="24"/>
        </w:rPr>
      </w:pPr>
    </w:p>
    <w:sectPr w:rsidR="00991948" w:rsidRPr="00202167" w:rsidSect="005E6504">
      <w:headerReference w:type="default" r:id="rId8"/>
      <w:headerReference w:type="first" r:id="rId9"/>
      <w:pgSz w:w="11904" w:h="16831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822F" w14:textId="77777777" w:rsidR="00F909C5" w:rsidRDefault="00F909C5" w:rsidP="00202167">
      <w:pPr>
        <w:spacing w:after="0" w:line="240" w:lineRule="auto"/>
      </w:pPr>
      <w:r>
        <w:separator/>
      </w:r>
    </w:p>
  </w:endnote>
  <w:endnote w:type="continuationSeparator" w:id="0">
    <w:p w14:paraId="5227C381" w14:textId="77777777" w:rsidR="00F909C5" w:rsidRDefault="00F909C5" w:rsidP="0020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089A" w14:textId="77777777" w:rsidR="00F909C5" w:rsidRDefault="00F909C5" w:rsidP="00202167">
      <w:pPr>
        <w:spacing w:after="0" w:line="240" w:lineRule="auto"/>
      </w:pPr>
      <w:r>
        <w:separator/>
      </w:r>
    </w:p>
  </w:footnote>
  <w:footnote w:type="continuationSeparator" w:id="0">
    <w:p w14:paraId="5FA26C7A" w14:textId="77777777" w:rsidR="00F909C5" w:rsidRDefault="00F909C5" w:rsidP="0020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A881" w14:textId="3A4CB448" w:rsidR="00202167" w:rsidRDefault="00202167" w:rsidP="002021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9929" w14:textId="3AD45B8E" w:rsidR="007465DE" w:rsidRDefault="007465DE" w:rsidP="005E6504">
    <w:pPr>
      <w:pStyle w:val="Header"/>
      <w:jc w:val="center"/>
    </w:pPr>
    <w:r>
      <w:rPr>
        <w:noProof/>
      </w:rPr>
      <w:drawing>
        <wp:inline distT="0" distB="0" distL="0" distR="0" wp14:anchorId="7FC916F2" wp14:editId="6082433D">
          <wp:extent cx="2468880" cy="1303020"/>
          <wp:effectExtent l="0" t="0" r="762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8880" cy="130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6E4"/>
    <w:multiLevelType w:val="hybridMultilevel"/>
    <w:tmpl w:val="393AE970"/>
    <w:lvl w:ilvl="0" w:tplc="077455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A7CF2"/>
    <w:multiLevelType w:val="multilevel"/>
    <w:tmpl w:val="47785028"/>
    <w:lvl w:ilvl="0">
      <w:start w:val="1"/>
      <w:numFmt w:val="upperRoman"/>
      <w:lvlText w:val="%1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EE4754"/>
    <w:multiLevelType w:val="multilevel"/>
    <w:tmpl w:val="14F675EE"/>
    <w:lvl w:ilvl="0">
      <w:start w:val="1"/>
      <w:numFmt w:val="upperRoman"/>
      <w:lvlText w:val="%1"/>
      <w:lvlJc w:val="left"/>
      <w:pPr>
        <w:ind w:left="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4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6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6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6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6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6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48"/>
    <w:rsid w:val="00054F26"/>
    <w:rsid w:val="00106B49"/>
    <w:rsid w:val="00123A03"/>
    <w:rsid w:val="00137052"/>
    <w:rsid w:val="00142DBE"/>
    <w:rsid w:val="00153973"/>
    <w:rsid w:val="00190BD5"/>
    <w:rsid w:val="00194512"/>
    <w:rsid w:val="001A79C6"/>
    <w:rsid w:val="001B0C1E"/>
    <w:rsid w:val="001C6B7B"/>
    <w:rsid w:val="001F322B"/>
    <w:rsid w:val="00202167"/>
    <w:rsid w:val="002077B1"/>
    <w:rsid w:val="00232B93"/>
    <w:rsid w:val="0026230D"/>
    <w:rsid w:val="0027435F"/>
    <w:rsid w:val="002849E5"/>
    <w:rsid w:val="002C46A5"/>
    <w:rsid w:val="00396EC7"/>
    <w:rsid w:val="003A21D2"/>
    <w:rsid w:val="003A5153"/>
    <w:rsid w:val="00404FB2"/>
    <w:rsid w:val="0044258F"/>
    <w:rsid w:val="00461165"/>
    <w:rsid w:val="004E1BBD"/>
    <w:rsid w:val="004E1CCE"/>
    <w:rsid w:val="004F4B7C"/>
    <w:rsid w:val="00514319"/>
    <w:rsid w:val="005239BC"/>
    <w:rsid w:val="0053056C"/>
    <w:rsid w:val="00530841"/>
    <w:rsid w:val="005519F3"/>
    <w:rsid w:val="005D6759"/>
    <w:rsid w:val="005E5799"/>
    <w:rsid w:val="005E6504"/>
    <w:rsid w:val="00601589"/>
    <w:rsid w:val="00612D27"/>
    <w:rsid w:val="00734BAF"/>
    <w:rsid w:val="00744F45"/>
    <w:rsid w:val="007465DE"/>
    <w:rsid w:val="00801F99"/>
    <w:rsid w:val="00817911"/>
    <w:rsid w:val="00822694"/>
    <w:rsid w:val="00860C5A"/>
    <w:rsid w:val="00860D89"/>
    <w:rsid w:val="00871113"/>
    <w:rsid w:val="008773F4"/>
    <w:rsid w:val="008D3433"/>
    <w:rsid w:val="008F6CA0"/>
    <w:rsid w:val="00955E8C"/>
    <w:rsid w:val="00974F03"/>
    <w:rsid w:val="00991948"/>
    <w:rsid w:val="009C0617"/>
    <w:rsid w:val="009E6D6F"/>
    <w:rsid w:val="00A47A2D"/>
    <w:rsid w:val="00A92E36"/>
    <w:rsid w:val="00AE1714"/>
    <w:rsid w:val="00B1599C"/>
    <w:rsid w:val="00B711F5"/>
    <w:rsid w:val="00B93358"/>
    <w:rsid w:val="00BA5518"/>
    <w:rsid w:val="00C4474D"/>
    <w:rsid w:val="00C4591F"/>
    <w:rsid w:val="00C638CB"/>
    <w:rsid w:val="00CA7673"/>
    <w:rsid w:val="00CC67AF"/>
    <w:rsid w:val="00D5026E"/>
    <w:rsid w:val="00DC2A1F"/>
    <w:rsid w:val="00DC7B5A"/>
    <w:rsid w:val="00DF6D3E"/>
    <w:rsid w:val="00E13814"/>
    <w:rsid w:val="00E61BC7"/>
    <w:rsid w:val="00E95CC0"/>
    <w:rsid w:val="00EA3650"/>
    <w:rsid w:val="00EA6027"/>
    <w:rsid w:val="00F17726"/>
    <w:rsid w:val="00F209D8"/>
    <w:rsid w:val="00F565A4"/>
    <w:rsid w:val="00F909C5"/>
    <w:rsid w:val="00F91C3E"/>
    <w:rsid w:val="00FB1BEA"/>
    <w:rsid w:val="00FC1B6B"/>
    <w:rsid w:val="00FE4D63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63AA9"/>
  <w15:docId w15:val="{F5D79525-B2DD-4801-A7D1-93AE42E9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167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02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167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02167"/>
    <w:pPr>
      <w:ind w:left="720"/>
      <w:contextualSpacing/>
    </w:pPr>
  </w:style>
  <w:style w:type="character" w:styleId="Hyperlink">
    <w:name w:val="Hyperlink"/>
    <w:rsid w:val="00612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3F52-02FA-4030-BC49-987D5BDB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BQK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Valon Lepaja</dc:creator>
  <cp:keywords/>
  <cp:lastModifiedBy>Genta Islami</cp:lastModifiedBy>
  <cp:revision>2</cp:revision>
  <cp:lastPrinted>2019-07-15T09:14:00Z</cp:lastPrinted>
  <dcterms:created xsi:type="dcterms:W3CDTF">2024-11-12T13:16:00Z</dcterms:created>
  <dcterms:modified xsi:type="dcterms:W3CDTF">2024-11-12T13:16:00Z</dcterms:modified>
</cp:coreProperties>
</file>