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6" w:rsidRPr="00997F81" w:rsidRDefault="003E2ED6" w:rsidP="003E2ED6">
      <w:pPr>
        <w:rPr>
          <w:rFonts w:ascii="Garamond" w:hAnsi="Garamond"/>
          <w:lang w:val="sq-AL"/>
        </w:rPr>
      </w:pPr>
    </w:p>
    <w:p w:rsidR="003E2ED6" w:rsidRPr="00997F81" w:rsidRDefault="00F02BD9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997F81">
        <w:rPr>
          <w:noProof/>
          <w:lang w:val="sq-AL"/>
        </w:rPr>
        <w:drawing>
          <wp:inline distT="0" distB="0" distL="0" distR="0" wp14:anchorId="055B780E" wp14:editId="2119556E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997F81">
        <w:rPr>
          <w:rFonts w:ascii="Garamond" w:hAnsi="Garamond"/>
          <w:noProof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F141B" wp14:editId="65E34405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Pr="001A458D" w:rsidRDefault="003E2ED6" w:rsidP="003E2ED6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4</w:t>
                            </w:r>
                          </w:p>
                          <w:p w:rsidR="003E2ED6" w:rsidRPr="001A458D" w:rsidRDefault="003E2ED6" w:rsidP="003E2ED6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3E2ED6" w:rsidRDefault="003E2ED6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A30C3" w:rsidRDefault="00AA30C3" w:rsidP="003E2ED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3E2ED6" w:rsidRDefault="003E2ED6" w:rsidP="003E2ED6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FORMULAR APLIKIM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I</w:t>
                            </w: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3E2ED6" w:rsidRPr="00A10E6A" w:rsidRDefault="003E2ED6" w:rsidP="003E2ED6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DEGË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VE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APO 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SUBJEKT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>EVE</w:t>
                            </w:r>
                            <w:r w:rsidR="00997F81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TË VARURA TË </w:t>
                            </w:r>
                            <w:r w:rsidR="009B4B25">
                              <w:rPr>
                                <w:rFonts w:ascii="Garamond" w:hAnsi="Garamond"/>
                                <w:sz w:val="48"/>
                              </w:rPr>
                              <w:t>SIGURUE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VE JASHTË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7.55pt;margin-top:22.3pt;width:342.8pt;height:3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Pr="001A458D" w:rsidRDefault="003E2ED6" w:rsidP="003E2ED6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4</w:t>
                      </w:r>
                    </w:p>
                    <w:p w:rsidR="003E2ED6" w:rsidRPr="001A458D" w:rsidRDefault="003E2ED6" w:rsidP="003E2ED6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3E2ED6" w:rsidRDefault="003E2ED6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A30C3" w:rsidRDefault="00AA30C3" w:rsidP="003E2ED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3E2ED6" w:rsidRDefault="003E2ED6" w:rsidP="003E2ED6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FORMULAR APLIKIM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I</w:t>
                      </w:r>
                      <w:r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3E2ED6" w:rsidRPr="00A10E6A" w:rsidRDefault="003E2ED6" w:rsidP="003E2ED6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DEGË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VE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APO 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SUBJEKT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>EVE</w:t>
                      </w:r>
                      <w:r w:rsidR="00997F81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TË VARURA TË </w:t>
                      </w:r>
                      <w:r w:rsidR="009B4B25">
                        <w:rPr>
                          <w:rFonts w:ascii="Garamond" w:hAnsi="Garamond"/>
                          <w:sz w:val="48"/>
                        </w:rPr>
                        <w:t>SIGURUE</w:t>
                      </w:r>
                      <w:r>
                        <w:rPr>
                          <w:rFonts w:ascii="Garamond" w:hAnsi="Garamond"/>
                          <w:sz w:val="48"/>
                        </w:rPr>
                        <w:t>VE JASHTË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997F81">
        <w:rPr>
          <w:rFonts w:ascii="Garamond" w:hAnsi="Garamond"/>
          <w:noProof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56974" wp14:editId="7C9B67B8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pStyle w:val="BodyText"/>
        <w:rPr>
          <w:rFonts w:ascii="Garamond" w:hAnsi="Garamond"/>
          <w:lang w:val="sq-AL"/>
        </w:rPr>
      </w:pPr>
    </w:p>
    <w:p w:rsidR="003E2ED6" w:rsidRPr="00997F81" w:rsidRDefault="003E2ED6" w:rsidP="003E2ED6">
      <w:pPr>
        <w:jc w:val="center"/>
        <w:rPr>
          <w:b/>
          <w:sz w:val="24"/>
          <w:szCs w:val="24"/>
          <w:lang w:val="sq-AL"/>
        </w:rPr>
      </w:pPr>
    </w:p>
    <w:p w:rsidR="003E2ED6" w:rsidRPr="00997F81" w:rsidRDefault="003E2ED6" w:rsidP="003E2ED6">
      <w:pPr>
        <w:pStyle w:val="Heading1"/>
        <w:rPr>
          <w:sz w:val="32"/>
          <w:lang w:val="sq-AL"/>
        </w:rPr>
      </w:pPr>
      <w:r w:rsidRPr="00997F81">
        <w:rPr>
          <w:sz w:val="32"/>
          <w:lang w:val="sq-AL"/>
        </w:rPr>
        <w:t>SHËNIME UDHËZUESE</w:t>
      </w:r>
    </w:p>
    <w:p w:rsidR="003E2ED6" w:rsidRPr="00997F81" w:rsidRDefault="003E2ED6" w:rsidP="003E2ED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Ky formular shërben si aplikacion për hapjen degës apo subjektit të varur të </w:t>
      </w:r>
      <w:r w:rsidR="00457C55" w:rsidRPr="00997F81">
        <w:rPr>
          <w:rFonts w:ascii="Garamond" w:hAnsi="Garamond" w:cs="Times New Roman"/>
          <w:sz w:val="24"/>
          <w:szCs w:val="24"/>
          <w:lang w:val="sq-AL"/>
        </w:rPr>
        <w:t>siguruesve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jashtë Republikës së Kosovës,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një nga gjuhët zyrtare të Republikës së Kosovës. 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Personeli i Departamentit për Licencim dhe Standardizim është në dispozicion për konsultime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>lidhur me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 xml:space="preserve">përgatitjen e 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këtij formulari të aplikimit. BQK-ja mund të kërkojë, përmes personelit të Departamentit për Licencim dhe Standardizimi, çfarëdo dokumentacioni apo sqarimi që konsiderohet i nevojshëm për vlerësimin e BQK-së.  </w:t>
      </w:r>
    </w:p>
    <w:p w:rsidR="003E2ED6" w:rsidRPr="00997F81" w:rsidRDefault="003E2ED6" w:rsidP="003E2ED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Nëse ndonjë 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 xml:space="preserve">informacion apo dokumentacion </w:t>
      </w:r>
      <w:r w:rsidRPr="00997F81">
        <w:rPr>
          <w:rFonts w:ascii="Garamond" w:hAnsi="Garamond" w:cs="Times New Roman"/>
          <w:sz w:val="24"/>
          <w:szCs w:val="24"/>
          <w:lang w:val="sq-AL"/>
        </w:rPr>
        <w:t>është i pakompletuar, BQK nuk do ta shqyrtoj atë. Gjithashtu nëse aplikacion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>i</w:t>
      </w:r>
      <w:r w:rsidRPr="00997F81">
        <w:rPr>
          <w:rFonts w:ascii="Garamond" w:hAnsi="Garamond" w:cs="Times New Roman"/>
          <w:sz w:val="24"/>
          <w:szCs w:val="24"/>
          <w:lang w:val="sq-AL"/>
        </w:rPr>
        <w:t xml:space="preserve"> nuk i shpalos të gjitha informacionet që mund të ndikojnë në vlerësimin e BQK-së, kjo mund të rezultojë në vonesa të konsiderueshme në procedim. BQK-ja nuk merr përgjegjësi për çfarëdo humbje që i shkaktohet </w:t>
      </w:r>
      <w:r w:rsidR="00997F81" w:rsidRPr="00997F81">
        <w:rPr>
          <w:rFonts w:ascii="Garamond" w:hAnsi="Garamond" w:cs="Times New Roman"/>
          <w:sz w:val="24"/>
          <w:szCs w:val="24"/>
          <w:lang w:val="sq-AL"/>
        </w:rPr>
        <w:t>a</w:t>
      </w:r>
      <w:r w:rsidR="00997F81" w:rsidRPr="00997F81">
        <w:rPr>
          <w:rFonts w:ascii="Garamond" w:hAnsi="Garamond" w:cs="Times New Roman"/>
          <w:sz w:val="24"/>
          <w:szCs w:val="24"/>
          <w:lang w:val="sq-AL"/>
        </w:rPr>
        <w:t xml:space="preserve">plikuesit </w:t>
      </w:r>
      <w:r w:rsidRPr="00997F81">
        <w:rPr>
          <w:rFonts w:ascii="Garamond" w:hAnsi="Garamond" w:cs="Times New Roman"/>
          <w:sz w:val="24"/>
          <w:szCs w:val="24"/>
          <w:lang w:val="sq-AL"/>
        </w:rPr>
        <w:t>nga ndonjë vonesë.</w:t>
      </w:r>
      <w:r w:rsidR="00AA30C3" w:rsidRPr="00997F81">
        <w:rPr>
          <w:rFonts w:ascii="Garamond" w:hAnsi="Garamond" w:cs="Times New Roman"/>
          <w:sz w:val="24"/>
          <w:szCs w:val="24"/>
          <w:lang w:val="sq-AL"/>
        </w:rPr>
        <w:tab/>
      </w: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3E2ED6">
      <w:pPr>
        <w:jc w:val="both"/>
        <w:rPr>
          <w:sz w:val="24"/>
          <w:szCs w:val="24"/>
          <w:lang w:val="sq-AL"/>
        </w:rPr>
      </w:pPr>
    </w:p>
    <w:p w:rsidR="003E2ED6" w:rsidRPr="00997F81" w:rsidRDefault="003E2ED6" w:rsidP="00997F81">
      <w:pPr>
        <w:spacing w:line="360" w:lineRule="auto"/>
        <w:ind w:right="-450"/>
        <w:rPr>
          <w:rFonts w:ascii="Garamond" w:hAnsi="Garamond"/>
          <w:b/>
          <w:bCs/>
          <w:kern w:val="32"/>
          <w:sz w:val="32"/>
          <w:szCs w:val="36"/>
          <w:lang w:val="sq-AL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2160"/>
        <w:gridCol w:w="180"/>
        <w:gridCol w:w="6300"/>
        <w:gridCol w:w="900"/>
        <w:gridCol w:w="1170"/>
      </w:tblGrid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997F81" w:rsidP="00997F81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>Informacion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S</w:t>
            </w:r>
            <w:r w:rsidR="00FB41C9" w:rsidRPr="00997F81">
              <w:rPr>
                <w:rFonts w:ascii="Garamond" w:hAnsi="Garamond" w:cs="Times New Roman"/>
                <w:b/>
                <w:sz w:val="28"/>
                <w:lang w:val="sq-AL"/>
              </w:rPr>
              <w:t>iguruesit</w:t>
            </w:r>
          </w:p>
        </w:tc>
      </w:tr>
      <w:tr w:rsidR="003E2ED6" w:rsidRPr="00997F81" w:rsidTr="00997F81">
        <w:trPr>
          <w:trHeight w:val="404"/>
        </w:trPr>
        <w:tc>
          <w:tcPr>
            <w:tcW w:w="2970" w:type="dxa"/>
            <w:gridSpan w:val="3"/>
            <w:shd w:val="clear" w:color="auto" w:fill="F2F2F2" w:themeFill="background1" w:themeFillShade="F2"/>
          </w:tcPr>
          <w:p w:rsidR="003E2ED6" w:rsidRPr="00997F81" w:rsidRDefault="003E2ED6" w:rsidP="00997F81">
            <w:pPr>
              <w:spacing w:before="60" w:after="6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C05911" w:rsidRPr="00997F81">
              <w:rPr>
                <w:rFonts w:ascii="Garamond" w:hAnsi="Garamond" w:cs="Times New Roman"/>
                <w:sz w:val="24"/>
                <w:lang w:val="sq-AL"/>
              </w:rPr>
              <w:t>siguruesit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11340" w:type="dxa"/>
            <w:gridSpan w:val="6"/>
          </w:tcPr>
          <w:p w:rsidR="003E2ED6" w:rsidRPr="00997F81" w:rsidRDefault="00997F81" w:rsidP="00997F81">
            <w:pPr>
              <w:spacing w:before="60" w:after="6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Lokacioni i zyrës qendrore</w:t>
            </w:r>
          </w:p>
        </w:tc>
      </w:tr>
      <w:tr w:rsidR="003E2ED6" w:rsidRPr="00997F81" w:rsidTr="00F86456">
        <w:trPr>
          <w:trHeight w:val="422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997F81">
            <w:pPr>
              <w:spacing w:before="60" w:after="60"/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997F81" w:rsidP="00997F81">
            <w:pPr>
              <w:pStyle w:val="Heading2"/>
              <w:spacing w:before="60" w:after="60"/>
              <w:outlineLvl w:val="1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Pr="00997F81">
              <w:rPr>
                <w:rFonts w:ascii="Garamond" w:hAnsi="Garamond" w:cs="Times New Roman"/>
                <w:b/>
                <w:sz w:val="28"/>
                <w:lang w:val="sq-AL"/>
              </w:rPr>
              <w:t>A</w:t>
            </w:r>
            <w:r w:rsidR="003E2ED6" w:rsidRPr="00997F81">
              <w:rPr>
                <w:rFonts w:ascii="Garamond" w:hAnsi="Garamond" w:cs="Times New Roman"/>
                <w:b/>
                <w:sz w:val="28"/>
                <w:lang w:val="sq-AL"/>
              </w:rPr>
              <w:t xml:space="preserve">plikacionit </w:t>
            </w:r>
          </w:p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(Për të gjitha aplikacionet për hapjen e degëve/subjektit të varur jashtë Kosovës)</w:t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Aplikacioni është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 xml:space="preserve"> dorëzuar për marrë leje për të</w:t>
            </w:r>
          </w:p>
        </w:tc>
      </w:tr>
      <w:tr w:rsidR="003E2ED6" w:rsidRPr="00997F81" w:rsidTr="00F86456">
        <w:trPr>
          <w:trHeight w:val="647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59948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E2ED6" w:rsidRPr="00997F81" w:rsidRDefault="003E2ED6" w:rsidP="00997F81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Th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>emeluar degë në adresën vijuese</w:t>
            </w:r>
          </w:p>
        </w:tc>
      </w:tr>
      <w:tr w:rsidR="003E2ED6" w:rsidRPr="00997F81" w:rsidTr="00F86456">
        <w:trPr>
          <w:trHeight w:val="638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93049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E2ED6" w:rsidRPr="00997F81" w:rsidRDefault="003E2ED6" w:rsidP="00997F81">
                <w:pPr>
                  <w:spacing w:before="60" w:after="60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3E2ED6" w:rsidRPr="00997F81" w:rsidRDefault="003E2ED6" w:rsidP="00997F81">
            <w:pPr>
              <w:spacing w:before="60" w:after="6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Themeluar subjekt të varur në adresën vijuese</w:t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997F81" w:rsidP="00997F81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3E2ED6" w:rsidRPr="00997F81" w:rsidTr="00F86456">
        <w:trPr>
          <w:trHeight w:val="467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997F81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997F81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Kërkesa për informacion shtesë apo komunikim tjetër  rreth këti</w:t>
            </w:r>
            <w:r w:rsidR="00997F81" w:rsidRPr="00997F81">
              <w:rPr>
                <w:rFonts w:ascii="Garamond" w:hAnsi="Garamond" w:cs="Times New Roman"/>
                <w:sz w:val="24"/>
                <w:lang w:val="sq-AL"/>
              </w:rPr>
              <w:t>j propozimi duhet t’i drejtohet</w:t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Adresa elektronike  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428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3E2ED6" w:rsidRPr="00997F81" w:rsidRDefault="003E2ED6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70" w:type="dxa"/>
            <w:gridSpan w:val="3"/>
            <w:vAlign w:val="center"/>
          </w:tcPr>
          <w:p w:rsidR="003E2ED6" w:rsidRPr="00997F81" w:rsidRDefault="003E2ED6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997F81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Faktorët </w:t>
            </w:r>
            <w:r w:rsidR="00997F81" w:rsidRPr="00997F81">
              <w:rPr>
                <w:rFonts w:ascii="Garamond" w:hAnsi="Garamond" w:cs="Times New Roman"/>
                <w:b/>
                <w:sz w:val="24"/>
                <w:lang w:val="sq-AL"/>
              </w:rPr>
              <w:t>S</w:t>
            </w: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tatusorë dhe </w:t>
            </w:r>
            <w:r w:rsidR="00997F81" w:rsidRPr="00997F81">
              <w:rPr>
                <w:rFonts w:ascii="Garamond" w:hAnsi="Garamond" w:cs="Times New Roman"/>
                <w:b/>
                <w:sz w:val="24"/>
                <w:lang w:val="sq-AL"/>
              </w:rPr>
              <w:t>R</w:t>
            </w: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regullatorë</w:t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3E2E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3E2ED6" w:rsidRPr="00997F81" w:rsidTr="00F86456">
        <w:tc>
          <w:tcPr>
            <w:tcW w:w="11340" w:type="dxa"/>
            <w:gridSpan w:val="6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Për themelimin e një dege/subjekti të varur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AA30C3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 është miratuar nga Bordi i drejtorëve të </w:t>
            </w:r>
            <w:r w:rsidR="00AA30C3" w:rsidRPr="00997F81">
              <w:rPr>
                <w:rFonts w:ascii="Garamond" w:hAnsi="Garamond" w:cs="Times New Roman"/>
                <w:sz w:val="24"/>
                <w:lang w:val="sq-AL"/>
              </w:rPr>
              <w:t>siguruesit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ky zgjerim jashtë Republikës së Kosovës?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6781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tc>
          <w:tcPr>
            <w:tcW w:w="900" w:type="dxa"/>
            <w:vAlign w:val="center"/>
          </w:tcPr>
          <w:p w:rsidR="003E2ED6" w:rsidRPr="00997F81" w:rsidRDefault="003E2ED6" w:rsidP="00F86456">
            <w:pPr>
              <w:spacing w:before="60" w:after="60"/>
              <w:jc w:val="center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MS Mincho" w:eastAsia="MS Mincho" w:hAnsi="MS Mincho" w:cs="MS Mincho"/>
                <w:sz w:val="40"/>
                <w:lang w:val="sq-AL"/>
              </w:rPr>
              <w:t>☐</w:t>
            </w:r>
          </w:p>
        </w:tc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 ka ndonjë kufizim të imponuar nga rregullorja mbi themelimin e degëve/subjekteve të varura në këtë lokacion?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869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053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Gothic" w:eastAsia="MS Gothic" w:hAnsi="MS Gothic" w:cs="Times New Roman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A ka ndonjë çështje tjetër ligjore të përfshirë në këtë propozim?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3730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936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980"/>
        </w:trPr>
        <w:tc>
          <w:tcPr>
            <w:tcW w:w="2790" w:type="dxa"/>
            <w:gridSpan w:val="2"/>
            <w:vAlign w:val="center"/>
          </w:tcPr>
          <w:p w:rsidR="003E2ED6" w:rsidRPr="00997F81" w:rsidRDefault="003E2ED6" w:rsidP="00F86456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Nëse Po, ofroni analizat ligjore dhe diskutoni plotësisht çështjen ligjore</w:t>
            </w:r>
          </w:p>
        </w:tc>
        <w:tc>
          <w:tcPr>
            <w:tcW w:w="8550" w:type="dxa"/>
            <w:gridSpan w:val="4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3E2ED6" w:rsidRPr="00997F81" w:rsidTr="00F86456">
        <w:trPr>
          <w:trHeight w:val="50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3E2E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>Organizimi dhe aktivitetet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FE15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 e ka përfshirë </w:t>
            </w:r>
            <w:r w:rsidR="00E43A64" w:rsidRPr="00997F81">
              <w:rPr>
                <w:rFonts w:ascii="Garamond" w:hAnsi="Garamond" w:cs="Times New Roman"/>
                <w:sz w:val="24"/>
                <w:lang w:val="sq-AL"/>
              </w:rPr>
              <w:t>siguruesi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strukturën organizative të zyrës, së bashku me numrin e propozuar të punëtorëve, si dhe personin(at) e propozuar si drejtor të zyrës, të shoqëruar nga një përshkrim i kompetencave përkatëse të tyre?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5843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8618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9217E0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A e ka siguruar </w:t>
            </w:r>
            <w:r w:rsidR="00FE15BC" w:rsidRPr="00997F81">
              <w:rPr>
                <w:rFonts w:ascii="Garamond" w:hAnsi="Garamond" w:cs="Times New Roman"/>
                <w:sz w:val="24"/>
                <w:lang w:val="sq-AL"/>
              </w:rPr>
              <w:t xml:space="preserve">siguruesi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planin e biznesit për zyrën për tre vitet e para të aktivitetit, duke përfshirë plotësimin e formularëve të kërkuar në Shtojcën D –Forma </w:t>
            </w:r>
            <w:r w:rsidR="009217E0" w:rsidRPr="00997F81">
              <w:rPr>
                <w:rFonts w:ascii="Garamond" w:hAnsi="Garamond" w:cs="Times New Roman"/>
                <w:sz w:val="24"/>
                <w:lang w:val="sq-AL"/>
              </w:rPr>
              <w:t>e projeksioneve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financiare, mund të gjendet në ueb-faqen zyrtare të BQK-së nën Aplikacione: www.bqk-kos.org 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5440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3E2ED6" w:rsidRPr="00997F81" w:rsidRDefault="003E2ED6" w:rsidP="00F86456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0554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3E2ED6" w:rsidRPr="00997F81" w:rsidTr="00F86456">
        <w:trPr>
          <w:trHeight w:val="53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E43A6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sz w:val="24"/>
                <w:lang w:val="sq-AL"/>
              </w:rPr>
              <w:t xml:space="preserve">Vetëm për Subjektin e varur të </w:t>
            </w:r>
            <w:r w:rsidR="00E43A64" w:rsidRPr="00997F81">
              <w:rPr>
                <w:rFonts w:ascii="Garamond" w:hAnsi="Garamond" w:cs="Times New Roman"/>
                <w:b/>
                <w:sz w:val="24"/>
                <w:lang w:val="sq-AL"/>
              </w:rPr>
              <w:t>siguruesit</w:t>
            </w:r>
          </w:p>
        </w:tc>
      </w:tr>
      <w:tr w:rsidR="003E2ED6" w:rsidRPr="00997F81" w:rsidTr="00F86456">
        <w:trPr>
          <w:trHeight w:val="530"/>
        </w:trPr>
        <w:tc>
          <w:tcPr>
            <w:tcW w:w="11340" w:type="dxa"/>
            <w:gridSpan w:val="6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Nëse ky aplikacion është për të hapur një subjekt të varur, a janë përfshirë informacionet shtesë si në vijim: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3E2ED6" w:rsidRPr="00997F81" w:rsidRDefault="003E2ED6" w:rsidP="00C24798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Informacion mbi identitetin, vendndodhjen apo zyrën kryesore si dhe të dhënat komerciale të vitit aktual për secilin person që zotëron </w:t>
            </w:r>
            <w:r w:rsidR="00F25F93" w:rsidRPr="00997F81">
              <w:rPr>
                <w:rFonts w:ascii="Garamond" w:hAnsi="Garamond" w:cs="Times New Roman"/>
                <w:sz w:val="24"/>
                <w:lang w:val="sq-AL"/>
              </w:rPr>
              <w:t>aksione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 në </w:t>
            </w:r>
            <w:r w:rsidR="00C24798" w:rsidRPr="00997F81">
              <w:rPr>
                <w:rFonts w:ascii="Garamond" w:hAnsi="Garamond" w:cs="Times New Roman"/>
                <w:sz w:val="24"/>
                <w:lang w:val="sq-AL"/>
              </w:rPr>
              <w:t>subjektin e varur të themeluar.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4721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3E2ED6" w:rsidRPr="00997F81" w:rsidTr="00F86456">
        <w:trPr>
          <w:trHeight w:val="530"/>
        </w:trPr>
        <w:tc>
          <w:tcPr>
            <w:tcW w:w="9270" w:type="dxa"/>
            <w:gridSpan w:val="4"/>
            <w:vMerge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4797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3E2ED6" w:rsidRPr="00997F81" w:rsidRDefault="003E2ED6" w:rsidP="00F86456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997F81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3E2ED6" w:rsidRPr="00997F81" w:rsidRDefault="003E2ED6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997F81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</w:tbl>
    <w:p w:rsidR="009217E0" w:rsidRPr="00997F81" w:rsidRDefault="009217E0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997F81" w:rsidRPr="00997F81" w:rsidRDefault="00997F81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997F81" w:rsidRPr="00997F81" w:rsidRDefault="00997F81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</w:t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  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sz w:val="24"/>
                <w:lang w:val="sq-AL"/>
              </w:rPr>
              <w:t>.</w:t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997F81">
        <w:rPr>
          <w:rFonts w:ascii="Garamond" w:hAnsi="Garamond" w:cs="Times New Roman"/>
          <w:b/>
          <w:sz w:val="24"/>
          <w:lang w:val="sq-AL"/>
        </w:rPr>
        <w:t xml:space="preserve">Data e dëshiruar e veprimit  </w:t>
      </w:r>
      <w:r w:rsidR="00997F81" w:rsidRPr="00997F81">
        <w:rPr>
          <w:rFonts w:ascii="Garamond" w:hAnsi="Garamond" w:cs="Times New Roman"/>
          <w:b/>
          <w:sz w:val="24"/>
          <w:lang w:val="sq-AL"/>
        </w:rPr>
        <w:tab/>
      </w:r>
      <w:r w:rsidR="00997F81" w:rsidRPr="00997F81">
        <w:rPr>
          <w:rFonts w:ascii="Garamond" w:hAnsi="Garamond" w:cs="Times New Roman"/>
          <w:b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 xml:space="preserve">Emri 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>Titulli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p w:rsidR="003E2ED6" w:rsidRPr="00997F81" w:rsidRDefault="003E2ED6" w:rsidP="003E2ED6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E2ED6" w:rsidRPr="00997F81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E2ED6" w:rsidRPr="00997F81" w:rsidRDefault="003E2ED6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27"/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bookmarkEnd w:id="0"/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3E2ED6" w:rsidRPr="00997F81" w:rsidRDefault="003E2ED6" w:rsidP="00997F81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997F81">
        <w:rPr>
          <w:rFonts w:ascii="Garamond" w:hAnsi="Garamond" w:cs="Times New Roman"/>
          <w:sz w:val="24"/>
          <w:lang w:val="sq-AL"/>
        </w:rPr>
        <w:t>Data</w:t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  <w:r w:rsidRPr="00997F81">
        <w:rPr>
          <w:rFonts w:ascii="Garamond" w:hAnsi="Garamond" w:cs="Times New Roman"/>
          <w:sz w:val="24"/>
          <w:lang w:val="sq-AL"/>
        </w:rPr>
        <w:tab/>
      </w:r>
    </w:p>
    <w:p w:rsidR="003E2ED6" w:rsidRPr="00997F81" w:rsidRDefault="003E2ED6" w:rsidP="003E2ED6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997F81">
        <w:rPr>
          <w:rFonts w:ascii="Garamond" w:hAnsi="Garamond"/>
          <w:i/>
          <w:iCs/>
          <w:noProof/>
          <w:spacing w:val="-3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0337" wp14:editId="69733B1B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997F81" w:rsidRPr="00997F81" w:rsidRDefault="00997F81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  <w:r w:rsidRPr="00997F81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lastRenderedPageBreak/>
        <w:t xml:space="preserve">Unë/ne këtu dorëzojmë pagesën sa i përket këtij aplikacioni sipas  Skemës së e Tarifave të BQK-së që gjendet e publikuar në  ueb-faqen zyrtare: </w:t>
      </w:r>
      <w:hyperlink r:id="rId9" w:history="1">
        <w:r w:rsidRPr="00997F81">
          <w:rPr>
            <w:rStyle w:val="Hyperlink"/>
            <w:rFonts w:ascii="Garamond" w:hAnsi="Garamond" w:cs="Times New Roman"/>
            <w:i/>
            <w:iCs/>
            <w:spacing w:val="-3"/>
            <w:sz w:val="24"/>
            <w:szCs w:val="24"/>
            <w:lang w:val="sq-AL"/>
          </w:rPr>
          <w:t>www.bqk-ks.org</w:t>
        </w:r>
      </w:hyperlink>
      <w:r w:rsidRPr="00997F81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  </w:t>
      </w:r>
    </w:p>
    <w:p w:rsidR="003E2ED6" w:rsidRPr="00997F81" w:rsidRDefault="003E2ED6" w:rsidP="003E2ED6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</w:t>
            </w:r>
            <w:r w:rsidR="003E2ED6"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 xml:space="preserve">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997F81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3E2ED6" w:rsidRPr="00997F81" w:rsidTr="00F86456">
        <w:tc>
          <w:tcPr>
            <w:tcW w:w="2268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</w:pPr>
            <w:r w:rsidRPr="00997F81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Caktimi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ED6" w:rsidRPr="00997F81" w:rsidRDefault="003E2ED6" w:rsidP="00F86456">
            <w:pPr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997F81">
              <w:rPr>
                <w:rFonts w:ascii="Garamond" w:hAnsi="Garamond" w:cs="Times New Roman"/>
                <w:noProof/>
                <w:lang w:val="sq-AL"/>
              </w:rPr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997F81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E2ED6" w:rsidRPr="00997F81" w:rsidRDefault="003E2ED6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3E2ED6" w:rsidRPr="00997F81" w:rsidRDefault="003E2ED6" w:rsidP="003E2ED6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3E2ED6" w:rsidRPr="00997F81" w:rsidRDefault="003E2ED6" w:rsidP="003E2ED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b/>
          <w:i/>
          <w:lang w:val="sq-AL"/>
        </w:rPr>
      </w:pP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  <w:t>DATA / VULA E KOM</w:t>
      </w:r>
      <w:bookmarkStart w:id="1" w:name="_GoBack"/>
      <w:bookmarkEnd w:id="1"/>
      <w:r w:rsidRPr="00997F81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>PANISË</w:t>
      </w:r>
    </w:p>
    <w:p w:rsidR="00037214" w:rsidRPr="00997F81" w:rsidRDefault="00037214" w:rsidP="003E2ED6">
      <w:pPr>
        <w:rPr>
          <w:lang w:val="sq-AL"/>
        </w:rPr>
      </w:pPr>
    </w:p>
    <w:sectPr w:rsidR="00037214" w:rsidRPr="00997F81" w:rsidSect="000666FA">
      <w:headerReference w:type="default" r:id="rId10"/>
      <w:footerReference w:type="default" r:id="rId11"/>
      <w:headerReference w:type="first" r:id="rId12"/>
      <w:type w:val="evenPage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D" w:rsidRDefault="0020387D" w:rsidP="000666FA">
      <w:r>
        <w:separator/>
      </w:r>
    </w:p>
  </w:endnote>
  <w:endnote w:type="continuationSeparator" w:id="0">
    <w:p w:rsidR="0020387D" w:rsidRDefault="0020387D" w:rsidP="000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C66A55" w:rsidTr="00C66A55">
      <w:trPr>
        <w:trHeight w:val="360"/>
      </w:trPr>
      <w:tc>
        <w:tcPr>
          <w:tcW w:w="4734" w:type="pct"/>
          <w:vAlign w:val="center"/>
        </w:tcPr>
        <w:p w:rsidR="00C66A55" w:rsidRPr="00ED4682" w:rsidRDefault="003E2ED6" w:rsidP="00997F81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4 –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Formular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 xml:space="preserve"> A</w:t>
          </w:r>
          <w:r w:rsidR="00997F81"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i</w:t>
          </w:r>
          <w:r w:rsidR="00997F81"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 xml:space="preserve">Hapjen e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D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egëve/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S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 xml:space="preserve">ubjekteve të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V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 xml:space="preserve">arura 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J</w:t>
          </w:r>
          <w:r w:rsidR="00997F81">
            <w:rPr>
              <w:rFonts w:ascii="Garamond" w:hAnsi="Garamond"/>
              <w:sz w:val="20"/>
              <w:szCs w:val="20"/>
              <w:lang w:val="sq-AL"/>
            </w:rPr>
            <w:t>ashtë Republikës së Kosovës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C66A55" w:rsidRPr="00ED4682" w:rsidRDefault="00CB3EFA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997F81" w:rsidRPr="00997F81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5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997F81" w:rsidP="00C66A55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D" w:rsidRDefault="0020387D" w:rsidP="000666FA">
      <w:r>
        <w:separator/>
      </w:r>
    </w:p>
  </w:footnote>
  <w:footnote w:type="continuationSeparator" w:id="0">
    <w:p w:rsidR="0020387D" w:rsidRDefault="0020387D" w:rsidP="0006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997F81">
    <w:pPr>
      <w:pStyle w:val="Header"/>
    </w:pPr>
  </w:p>
  <w:p w:rsidR="00680EDB" w:rsidRDefault="00997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997F81" w:rsidP="005C6EBD">
    <w:pPr>
      <w:pStyle w:val="Header"/>
    </w:pPr>
  </w:p>
  <w:p w:rsidR="00680EDB" w:rsidRDefault="00997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65F1FDD"/>
    <w:multiLevelType w:val="hybridMultilevel"/>
    <w:tmpl w:val="5D2CFC10"/>
    <w:lvl w:ilvl="0" w:tplc="AF920F8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4E3226E6"/>
    <w:multiLevelType w:val="hybridMultilevel"/>
    <w:tmpl w:val="7018B082"/>
    <w:lvl w:ilvl="0" w:tplc="D550D87A">
      <w:start w:val="9"/>
      <w:numFmt w:val="lowerLetter"/>
      <w:lvlText w:val="%1)"/>
      <w:lvlJc w:val="left"/>
      <w:pPr>
        <w:ind w:left="114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DDF5261"/>
    <w:multiLevelType w:val="hybridMultilevel"/>
    <w:tmpl w:val="49C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3"/>
    <w:lvlOverride w:ilvl="0">
      <w:startOverride w:val="6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A"/>
    <w:rsid w:val="00037214"/>
    <w:rsid w:val="000666FA"/>
    <w:rsid w:val="00187AD1"/>
    <w:rsid w:val="0020387D"/>
    <w:rsid w:val="00276BAF"/>
    <w:rsid w:val="002C2BB8"/>
    <w:rsid w:val="003E25AE"/>
    <w:rsid w:val="003E2ED6"/>
    <w:rsid w:val="003F5935"/>
    <w:rsid w:val="00457C55"/>
    <w:rsid w:val="00483D56"/>
    <w:rsid w:val="00490583"/>
    <w:rsid w:val="00501889"/>
    <w:rsid w:val="005C0F62"/>
    <w:rsid w:val="00602459"/>
    <w:rsid w:val="006027F1"/>
    <w:rsid w:val="006255F1"/>
    <w:rsid w:val="00696A9F"/>
    <w:rsid w:val="007F0AF4"/>
    <w:rsid w:val="007F7970"/>
    <w:rsid w:val="00837109"/>
    <w:rsid w:val="008D041C"/>
    <w:rsid w:val="00910345"/>
    <w:rsid w:val="009217E0"/>
    <w:rsid w:val="0095043A"/>
    <w:rsid w:val="00997F81"/>
    <w:rsid w:val="009B4B25"/>
    <w:rsid w:val="00AA30C3"/>
    <w:rsid w:val="00C01390"/>
    <w:rsid w:val="00C05911"/>
    <w:rsid w:val="00C24798"/>
    <w:rsid w:val="00C35A54"/>
    <w:rsid w:val="00CB3EFA"/>
    <w:rsid w:val="00CF1534"/>
    <w:rsid w:val="00D66266"/>
    <w:rsid w:val="00D737AA"/>
    <w:rsid w:val="00E43A64"/>
    <w:rsid w:val="00F02BD9"/>
    <w:rsid w:val="00F25F93"/>
    <w:rsid w:val="00F7312A"/>
    <w:rsid w:val="00FA47CB"/>
    <w:rsid w:val="00FB41C9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C35A54"/>
    <w:pPr>
      <w:spacing w:after="0" w:line="240" w:lineRule="auto"/>
    </w:pPr>
    <w:rPr>
      <w:rFonts w:ascii="Arial" w:eastAsia="Times New Roman" w:hAnsi="Arial" w:cs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C35A54"/>
    <w:pPr>
      <w:spacing w:after="0" w:line="240" w:lineRule="auto"/>
    </w:pPr>
    <w:rPr>
      <w:rFonts w:ascii="Arial" w:eastAsia="Times New Roman" w:hAnsi="Arial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q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BQK-KOS.ORG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Albulena Xhelili</cp:lastModifiedBy>
  <cp:revision>2</cp:revision>
  <dcterms:created xsi:type="dcterms:W3CDTF">2017-07-05T11:15:00Z</dcterms:created>
  <dcterms:modified xsi:type="dcterms:W3CDTF">2017-07-05T11:15:00Z</dcterms:modified>
</cp:coreProperties>
</file>