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4E" w:rsidRDefault="00165ED8" w:rsidP="00165ED8">
      <w:pPr>
        <w:jc w:val="center"/>
      </w:pPr>
      <w:r>
        <w:rPr>
          <w:noProof/>
        </w:rPr>
        <w:drawing>
          <wp:inline distT="0" distB="0" distL="0" distR="0">
            <wp:extent cx="1748155" cy="8267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FD6" w:rsidRPr="00445FD6" w:rsidRDefault="00445FD6" w:rsidP="00445FD6">
      <w:pPr>
        <w:spacing w:after="0"/>
        <w:jc w:val="center"/>
        <w:rPr>
          <w:rFonts w:ascii="Andalus" w:hAnsi="Andalus" w:cs="Andalus"/>
          <w:b/>
          <w:lang w:val="sq-AL"/>
        </w:rPr>
      </w:pPr>
    </w:p>
    <w:p w:rsidR="00165ED8" w:rsidRPr="00445FD6" w:rsidRDefault="009E7E6C" w:rsidP="00165ED8">
      <w:pPr>
        <w:jc w:val="center"/>
        <w:rPr>
          <w:rFonts w:ascii="Garamond" w:hAnsi="Garamond" w:cs="Andalus"/>
          <w:b/>
          <w:sz w:val="36"/>
          <w:lang w:val="sq-AL"/>
        </w:rPr>
      </w:pPr>
      <w:r w:rsidRPr="00FE1F93">
        <w:rPr>
          <w:rFonts w:ascii="Garamond" w:hAnsi="Garamond" w:cs="Andalus"/>
          <w:b/>
          <w:sz w:val="36"/>
          <w:lang w:val="sq-AL"/>
        </w:rPr>
        <w:t>SHTOJCA I</w:t>
      </w:r>
      <w:r>
        <w:rPr>
          <w:rFonts w:ascii="Garamond" w:hAnsi="Garamond" w:cs="Andalus"/>
          <w:b/>
          <w:sz w:val="36"/>
          <w:lang w:val="sq-AL"/>
        </w:rPr>
        <w:t>V</w:t>
      </w:r>
      <w:r w:rsidRPr="00FE1F93">
        <w:rPr>
          <w:rFonts w:ascii="Garamond" w:hAnsi="Garamond" w:cs="Andalus"/>
          <w:b/>
          <w:sz w:val="36"/>
          <w:lang w:val="sq-AL"/>
        </w:rPr>
        <w:t xml:space="preserve"> - </w:t>
      </w:r>
      <w:r w:rsidR="00C7283B" w:rsidRPr="00445FD6">
        <w:rPr>
          <w:rFonts w:ascii="Garamond" w:hAnsi="Garamond" w:cs="Andalus"/>
          <w:b/>
          <w:sz w:val="36"/>
          <w:lang w:val="sq-AL"/>
        </w:rPr>
        <w:t xml:space="preserve">BANKAT </w:t>
      </w:r>
      <w:r w:rsidR="004E6401" w:rsidRPr="00445FD6">
        <w:rPr>
          <w:rFonts w:ascii="Garamond" w:hAnsi="Garamond" w:cs="Andalus"/>
          <w:b/>
          <w:sz w:val="36"/>
          <w:lang w:val="sq-AL"/>
        </w:rPr>
        <w:t>E HUAJA</w:t>
      </w:r>
      <w:r w:rsidR="005E02CE" w:rsidRPr="00445FD6">
        <w:rPr>
          <w:rFonts w:ascii="Garamond" w:hAnsi="Garamond" w:cs="Andalus"/>
          <w:b/>
          <w:sz w:val="36"/>
          <w:lang w:val="sq-AL"/>
        </w:rPr>
        <w:t xml:space="preserve"> </w:t>
      </w:r>
    </w:p>
    <w:p w:rsidR="00445FD6" w:rsidRPr="00445FD6" w:rsidRDefault="00445FD6" w:rsidP="00445FD6">
      <w:pPr>
        <w:spacing w:after="0"/>
        <w:jc w:val="both"/>
        <w:rPr>
          <w:rFonts w:ascii="Garamond" w:hAnsi="Garamond" w:cs="Andalus"/>
          <w:sz w:val="24"/>
          <w:szCs w:val="24"/>
          <w:lang w:val="sq-AL"/>
        </w:rPr>
      </w:pPr>
      <w:bookmarkStart w:id="0" w:name="_GoBack"/>
      <w:bookmarkEnd w:id="0"/>
    </w:p>
    <w:p w:rsidR="00C536CE" w:rsidRDefault="00C7283B" w:rsidP="00445FD6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Bank</w:t>
      </w:r>
      <w:r w:rsidR="00D47FC5" w:rsidRPr="00445FD6">
        <w:rPr>
          <w:rFonts w:ascii="Garamond" w:hAnsi="Garamond" w:cs="Andalus"/>
          <w:sz w:val="24"/>
          <w:szCs w:val="24"/>
          <w:lang w:val="sq-AL"/>
        </w:rPr>
        <w:t>ë</w:t>
      </w:r>
      <w:r w:rsidR="004E6401" w:rsidRPr="00445FD6">
        <w:rPr>
          <w:rFonts w:ascii="Garamond" w:hAnsi="Garamond" w:cs="Andalus"/>
          <w:sz w:val="24"/>
          <w:szCs w:val="24"/>
          <w:lang w:val="sq-AL"/>
        </w:rPr>
        <w:t xml:space="preserve"> huaj është personi juridik që është i organizuar, ka selinë e vet dhe posedon licencë për tu angazhuar në veprimtari bankare në ndonjë juridiksion tjetër përveç Kosovës. Bankat e huaja 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mund të operojnë në Kosovë si subjekte të varura </w:t>
      </w:r>
      <w:r w:rsidRPr="00445FD6">
        <w:rPr>
          <w:rFonts w:ascii="Garamond" w:hAnsi="Garamond" w:cs="Andalus"/>
          <w:sz w:val="24"/>
          <w:szCs w:val="24"/>
          <w:u w:val="single"/>
          <w:lang w:val="sq-AL"/>
        </w:rPr>
        <w:t xml:space="preserve">filial 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apo </w:t>
      </w:r>
      <w:r w:rsidRPr="00445FD6">
        <w:rPr>
          <w:rFonts w:ascii="Garamond" w:hAnsi="Garamond" w:cs="Andalus"/>
          <w:sz w:val="24"/>
          <w:szCs w:val="24"/>
          <w:u w:val="single"/>
          <w:lang w:val="sq-AL"/>
        </w:rPr>
        <w:t>degë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. </w:t>
      </w:r>
    </w:p>
    <w:p w:rsidR="00445FD6" w:rsidRPr="00445FD6" w:rsidRDefault="00445FD6" w:rsidP="00445FD6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</w:p>
    <w:p w:rsidR="00C7283B" w:rsidRPr="00445FD6" w:rsidRDefault="002D5EBD" w:rsidP="00445FD6">
      <w:pPr>
        <w:spacing w:after="120"/>
        <w:jc w:val="both"/>
        <w:rPr>
          <w:rFonts w:ascii="Garamond" w:hAnsi="Garamond" w:cs="Andalus"/>
          <w:b/>
          <w:sz w:val="24"/>
          <w:szCs w:val="24"/>
          <w:lang w:val="sq-AL"/>
        </w:rPr>
      </w:pPr>
      <w:r w:rsidRPr="00445FD6">
        <w:rPr>
          <w:rFonts w:ascii="Garamond" w:hAnsi="Garamond" w:cs="Andalus"/>
          <w:b/>
          <w:sz w:val="24"/>
          <w:szCs w:val="24"/>
          <w:lang w:val="sq-AL"/>
        </w:rPr>
        <w:t>Tiparet dalluese</w:t>
      </w:r>
    </w:p>
    <w:p w:rsidR="00C536CE" w:rsidRPr="00445FD6" w:rsidRDefault="002D5EBD" w:rsidP="00445FD6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Tiparet dalluese në mes të filialeve dhe degëve të bankave të huaja</w:t>
      </w:r>
      <w:r w:rsidR="00CF24C6" w:rsidRPr="00445FD6">
        <w:rPr>
          <w:rFonts w:ascii="Garamond" w:hAnsi="Garamond" w:cs="Andalus"/>
          <w:sz w:val="24"/>
          <w:szCs w:val="24"/>
          <w:lang w:val="sq-AL"/>
        </w:rPr>
        <w:t xml:space="preserve"> janë të natyrave të ndryshme, q</w:t>
      </w:r>
      <w:r w:rsidRPr="00445FD6">
        <w:rPr>
          <w:rFonts w:ascii="Garamond" w:hAnsi="Garamond" w:cs="Andalus"/>
          <w:sz w:val="24"/>
          <w:szCs w:val="24"/>
          <w:lang w:val="sq-AL"/>
        </w:rPr>
        <w:t>oftë nga aspekti i organizimit apo nga aspekti i mbikëqyrjes.</w:t>
      </w:r>
      <w:r w:rsidR="00355522" w:rsidRPr="00445FD6">
        <w:rPr>
          <w:rFonts w:ascii="Garamond" w:hAnsi="Garamond" w:cs="Andalus"/>
          <w:sz w:val="24"/>
          <w:szCs w:val="24"/>
          <w:lang w:val="sq-AL"/>
        </w:rPr>
        <w:t xml:space="preserve"> 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Fillimisht, filial nënkupton një subjekt të varur të bankës së huaj, që është nën kontroll të përbashkët me këtë bankë, ndërsa deg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>ë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 xml:space="preserve"> e bankës së huaj nënkupton një subjekt ligjërisht të varur të bankës e pa themeluar me vete, nëpërmjet të cilës banka e huaj angazhohe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>t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 xml:space="preserve"> në veprimtari bankare në Republikën e Kosovë.</w:t>
      </w:r>
    </w:p>
    <w:p w:rsidR="002D5EBD" w:rsidRPr="00445FD6" w:rsidRDefault="00E63AC9" w:rsidP="00445FD6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 xml:space="preserve">Filiali i bankës së huaj i nënshtrohet të gjitha kërkesave ligjore të përcaktuar me Ligji nr. 04/L-093 për Bankat, Institucionet Mikrofinanciare dhe Institucionet Financiare Jobankare në mënyrë të njëjtë sikurse bankat vendore. </w:t>
      </w:r>
      <w:r w:rsidR="002D5EBD" w:rsidRPr="00445FD6">
        <w:rPr>
          <w:rFonts w:ascii="Garamond" w:hAnsi="Garamond" w:cs="Andalus"/>
          <w:sz w:val="24"/>
          <w:szCs w:val="24"/>
          <w:lang w:val="sq-AL"/>
        </w:rPr>
        <w:t>Për dallim nga filialet, degët e bankave të huaja nuk iu nënshtrohen kërkesave ligjore në vijim:</w:t>
      </w:r>
    </w:p>
    <w:p w:rsidR="002D5EBD" w:rsidRPr="00445FD6" w:rsidRDefault="002D5EBD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Kriteret për anëtarët e bordit të drejtorëve si dhe ndryshim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et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 në anëtar të bo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rdit të drejtorëve nuk aplikohen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 për 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 xml:space="preserve">degët e </w:t>
      </w:r>
      <w:r w:rsidR="00CD162D" w:rsidRPr="00445FD6">
        <w:rPr>
          <w:rFonts w:ascii="Garamond" w:hAnsi="Garamond" w:cs="Andalus"/>
          <w:sz w:val="24"/>
          <w:szCs w:val="24"/>
          <w:lang w:val="sq-AL"/>
        </w:rPr>
        <w:t>banka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>ve</w:t>
      </w:r>
      <w:r w:rsidR="00CD162D" w:rsidRPr="00445FD6">
        <w:rPr>
          <w:rFonts w:ascii="Garamond" w:hAnsi="Garamond" w:cs="Andalus"/>
          <w:sz w:val="24"/>
          <w:szCs w:val="24"/>
          <w:lang w:val="sq-AL"/>
        </w:rPr>
        <w:t xml:space="preserve"> 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>të</w:t>
      </w:r>
      <w:r w:rsidR="00CD162D" w:rsidRPr="00445FD6">
        <w:rPr>
          <w:rFonts w:ascii="Garamond" w:hAnsi="Garamond" w:cs="Andalus"/>
          <w:sz w:val="24"/>
          <w:szCs w:val="24"/>
          <w:lang w:val="sq-AL"/>
        </w:rPr>
        <w:t xml:space="preserve"> </w:t>
      </w:r>
      <w:r w:rsidRPr="00445FD6">
        <w:rPr>
          <w:rFonts w:ascii="Garamond" w:hAnsi="Garamond" w:cs="Andalus"/>
          <w:sz w:val="24"/>
          <w:szCs w:val="24"/>
          <w:lang w:val="sq-AL"/>
        </w:rPr>
        <w:t>huaja</w:t>
      </w:r>
      <w:r w:rsidR="00CD162D" w:rsidRPr="00445FD6">
        <w:rPr>
          <w:rFonts w:ascii="Garamond" w:hAnsi="Garamond" w:cs="Andalus"/>
          <w:sz w:val="24"/>
          <w:szCs w:val="24"/>
          <w:lang w:val="sq-AL"/>
        </w:rPr>
        <w:t>. Degës së bankës së huaj nuk do t’i kërkohet të themelojë Bord në Kosovë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>.</w:t>
      </w:r>
    </w:p>
    <w:p w:rsidR="00311AE3" w:rsidRPr="00445FD6" w:rsidRDefault="00311AE3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Kërkesat e Bankës Qendrore të Republikës së Kosovës</w:t>
      </w:r>
      <w:r w:rsidR="0076217D" w:rsidRPr="00445FD6">
        <w:rPr>
          <w:rFonts w:ascii="Garamond" w:hAnsi="Garamond" w:cs="Andalus"/>
          <w:sz w:val="24"/>
          <w:szCs w:val="24"/>
          <w:lang w:val="sq-AL"/>
        </w:rPr>
        <w:t xml:space="preserve"> (BQK)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 për themelimin e komiteteve </w:t>
      </w:r>
      <w:r w:rsidR="0076217D" w:rsidRPr="00445FD6">
        <w:rPr>
          <w:rFonts w:ascii="Garamond" w:hAnsi="Garamond" w:cs="Andalus"/>
          <w:sz w:val="24"/>
          <w:szCs w:val="24"/>
          <w:lang w:val="sq-AL"/>
        </w:rPr>
        <w:t>nuk zbatohen për degët e bankave të huaja për aq kohë sa kërkesat e krahasueshme dhe të pranueshme për BQK-në zbatohen me ligj sipas të cilit banka e huaj është licencuar në juridiksionin e saj amë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>.</w:t>
      </w:r>
    </w:p>
    <w:p w:rsidR="002D5EBD" w:rsidRPr="00445FD6" w:rsidRDefault="002D5EBD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Kërkesat ligjore për kapital minimal rregullativ nuk aplikohe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n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 për degët e bankave të huaja. Për qëllime të kapitalit, degët e bankave të huaja duhet të mbajë një depozitë me barasvlerë kapitali në BQK e cila duhet të jetë e paguar në para nga banka-mëmë, për ushtrimin e veprimtarisë në Republikën e Kosovës. </w:t>
      </w:r>
    </w:p>
    <w:p w:rsidR="00C17F93" w:rsidRPr="00445FD6" w:rsidRDefault="00C17F93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Shpërndarja e dividentës nuk kërkon miratim paraprak nga BQK për bankën e huaj që është e licencuar për të operuar një ose më shumë degë në Kosovë. Mirëpo dega e bankës së huaj, në vazhdimësi duhet që të mbaj depozitën ekuivalente të kapitalit sipas paragrafit 2. të nenit 17 të Ligjit nr. 04/L-093 për Bankat, Institucionet Mikrofinanciare dhe Institucionet Financiare Jobankare.</w:t>
      </w:r>
    </w:p>
    <w:p w:rsidR="00311AE3" w:rsidRPr="00445FD6" w:rsidRDefault="00311AE3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Ndryshimet në aktin e themelimit dhe statut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in</w:t>
      </w:r>
      <w:r w:rsidRPr="00445FD6">
        <w:rPr>
          <w:rFonts w:ascii="Garamond" w:hAnsi="Garamond" w:cs="Andalus"/>
          <w:sz w:val="24"/>
          <w:szCs w:val="24"/>
          <w:lang w:val="sq-AL"/>
        </w:rPr>
        <w:t>, nuk kërkojnë miratim paraprak nga BQK, por vetëm njoftim.</w:t>
      </w:r>
    </w:p>
    <w:p w:rsidR="00311AE3" w:rsidRPr="00445FD6" w:rsidRDefault="0076217D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Miratimi i aksionarëve kryesor nuk kërkohet për degët e bankave të huaja për aq kohë sa banka e huaj njofton BQK-në për çdo përvetësim ku shuma e aksioneve të përvetësuara është e barabartë ose tejkalon pesë përqind (5%) të kapitalit të bankës së huaj.</w:t>
      </w:r>
    </w:p>
    <w:p w:rsidR="0076217D" w:rsidRPr="00445FD6" w:rsidRDefault="0076217D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lastRenderedPageBreak/>
        <w:t>Kërkesat ligjore për transaksionet me personat e ndërlidhur me bankën nuk zbatohet për bankën e huaj që është e licencuar për të operuar me një ose më shumë degë në Kosovë.</w:t>
      </w:r>
    </w:p>
    <w:p w:rsidR="0076217D" w:rsidRPr="00445FD6" w:rsidRDefault="00C17F93" w:rsidP="00445FD6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Auditori</w:t>
      </w:r>
      <w:r w:rsidR="0076217D" w:rsidRPr="00445FD6">
        <w:rPr>
          <w:rFonts w:ascii="Garamond" w:hAnsi="Garamond" w:cs="Andalus"/>
          <w:sz w:val="24"/>
          <w:szCs w:val="24"/>
          <w:lang w:val="sq-AL"/>
        </w:rPr>
        <w:t xml:space="preserve"> </w:t>
      </w:r>
      <w:r w:rsidRPr="00445FD6">
        <w:rPr>
          <w:rFonts w:ascii="Garamond" w:hAnsi="Garamond" w:cs="Andalus"/>
          <w:sz w:val="24"/>
          <w:szCs w:val="24"/>
          <w:lang w:val="sq-AL"/>
        </w:rPr>
        <w:t>i</w:t>
      </w:r>
      <w:r w:rsidR="0076217D" w:rsidRPr="00445FD6">
        <w:rPr>
          <w:rFonts w:ascii="Garamond" w:hAnsi="Garamond" w:cs="Andalus"/>
          <w:sz w:val="24"/>
          <w:szCs w:val="24"/>
          <w:lang w:val="sq-AL"/>
        </w:rPr>
        <w:t xml:space="preserve"> jashtëm 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i degës së bankës së huaj </w:t>
      </w:r>
      <w:r w:rsidR="0076217D" w:rsidRPr="00445FD6">
        <w:rPr>
          <w:rFonts w:ascii="Garamond" w:hAnsi="Garamond" w:cs="Andalus"/>
          <w:sz w:val="24"/>
          <w:szCs w:val="24"/>
          <w:lang w:val="sq-AL"/>
        </w:rPr>
        <w:t>nuk kërkon miratim nga ana e BQK-së për aq kohë sa kërkesat e krahasueshme dhe të pranueshme për BQK-në zbatohen me ligj sipas të cilit banka e huaj është licencuar në juridiksionin e saj amë.</w:t>
      </w:r>
    </w:p>
    <w:p w:rsidR="00452D5F" w:rsidRPr="00445FD6" w:rsidRDefault="004E6401" w:rsidP="00445FD6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 xml:space="preserve">Nëse </w:t>
      </w:r>
      <w:r w:rsidR="00452D5F" w:rsidRPr="00445FD6">
        <w:rPr>
          <w:rFonts w:ascii="Garamond" w:hAnsi="Garamond" w:cs="Andalus"/>
          <w:sz w:val="24"/>
          <w:szCs w:val="24"/>
          <w:lang w:val="sq-AL"/>
        </w:rPr>
        <w:t xml:space="preserve">BQK-ja 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 xml:space="preserve">vlerëson </w:t>
      </w:r>
      <w:r w:rsidR="00452D5F" w:rsidRPr="00445FD6">
        <w:rPr>
          <w:rFonts w:ascii="Garamond" w:hAnsi="Garamond" w:cs="Andalus"/>
          <w:sz w:val="24"/>
          <w:szCs w:val="24"/>
          <w:lang w:val="sq-AL"/>
        </w:rPr>
        <w:t>operacionet e degës si operacione të rëndësisë sistemike për sistemin financiar në Kosovë, për shkak të madhësisë së tyre apo ndonjë tipari tjetër</w:t>
      </w:r>
      <w:r w:rsidR="0076217D" w:rsidRPr="00445FD6">
        <w:rPr>
          <w:rFonts w:ascii="Garamond" w:hAnsi="Garamond" w:cs="Andalus"/>
          <w:sz w:val="24"/>
          <w:szCs w:val="24"/>
          <w:lang w:val="sq-AL"/>
        </w:rPr>
        <w:t>,</w:t>
      </w:r>
      <w:r w:rsidR="00452D5F" w:rsidRPr="00445FD6">
        <w:rPr>
          <w:rFonts w:ascii="Garamond" w:hAnsi="Garamond" w:cs="Andalus"/>
          <w:sz w:val="24"/>
          <w:szCs w:val="24"/>
          <w:lang w:val="sq-AL"/>
        </w:rPr>
        <w:t xml:space="preserve"> BQK-ja ka të drejtë t'i kërkojë bankës në Kosovë të shndërrohet nga dega në një subjekt të varur.</w:t>
      </w:r>
      <w:r w:rsidR="0076217D" w:rsidRPr="00445FD6">
        <w:rPr>
          <w:rFonts w:ascii="Garamond" w:hAnsi="Garamond" w:cs="Andalus"/>
          <w:sz w:val="24"/>
          <w:szCs w:val="24"/>
          <w:lang w:val="sq-AL"/>
        </w:rPr>
        <w:t xml:space="preserve"> </w:t>
      </w:r>
      <w:r w:rsidR="00CF24C6" w:rsidRPr="00445FD6">
        <w:rPr>
          <w:rFonts w:ascii="Garamond" w:hAnsi="Garamond" w:cs="Andalus"/>
          <w:sz w:val="24"/>
          <w:szCs w:val="24"/>
          <w:lang w:val="sq-AL"/>
        </w:rPr>
        <w:t xml:space="preserve">Kriteret bazë që mund të shtyjnë BQK-në drejtë këtij vendim janë </w:t>
      </w:r>
      <w:r w:rsidR="00452D5F" w:rsidRPr="00445FD6">
        <w:rPr>
          <w:rFonts w:ascii="Garamond" w:hAnsi="Garamond" w:cs="Andalus"/>
          <w:sz w:val="24"/>
          <w:szCs w:val="24"/>
          <w:lang w:val="sq-AL"/>
        </w:rPr>
        <w:t>kufizimet e mëposhtme:</w:t>
      </w:r>
    </w:p>
    <w:p w:rsidR="00452D5F" w:rsidRPr="00445FD6" w:rsidRDefault="00452D5F" w:rsidP="00445FD6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 xml:space="preserve">Vlera mesatare e aseteve të </w:t>
      </w:r>
      <w:r w:rsidR="00CF24C6" w:rsidRPr="00445FD6">
        <w:rPr>
          <w:rFonts w:ascii="Garamond" w:hAnsi="Garamond" w:cs="Andalus"/>
          <w:sz w:val="24"/>
          <w:szCs w:val="24"/>
          <w:lang w:val="sq-AL"/>
        </w:rPr>
        <w:t>degës së bankës së huaj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 për dy (2) tremujorë radhazi tejkalon dhjetë (10%) përqind të totalit të aseteve të sistemit bankar;</w:t>
      </w:r>
    </w:p>
    <w:p w:rsidR="00452D5F" w:rsidRPr="00445FD6" w:rsidRDefault="00452D5F" w:rsidP="00445FD6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 xml:space="preserve">Vlera mesatare e depozitave të </w:t>
      </w:r>
      <w:r w:rsidR="00CF24C6" w:rsidRPr="00445FD6">
        <w:rPr>
          <w:rFonts w:ascii="Garamond" w:hAnsi="Garamond" w:cs="Andalus"/>
          <w:sz w:val="24"/>
          <w:szCs w:val="24"/>
          <w:lang w:val="sq-AL"/>
        </w:rPr>
        <w:t xml:space="preserve">degës së bankës së huaj </w:t>
      </w:r>
      <w:r w:rsidRPr="00445FD6">
        <w:rPr>
          <w:rFonts w:ascii="Garamond" w:hAnsi="Garamond" w:cs="Andalus"/>
          <w:sz w:val="24"/>
          <w:szCs w:val="24"/>
          <w:lang w:val="sq-AL"/>
        </w:rPr>
        <w:t>për dy (2) tremujorë radhazi tejkalon dhjetë (10%) përqind të totalit të depozitave të sistemit bankar.</w:t>
      </w:r>
    </w:p>
    <w:p w:rsidR="000B6709" w:rsidRPr="00445FD6" w:rsidRDefault="000B6709" w:rsidP="00445FD6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 xml:space="preserve">BQK-ja mund të kërkojë nga banka e huaj që është licencuar për të operuar më një ose më shumë degë në Kosovë që ta </w:t>
      </w:r>
      <w:r w:rsidR="00C17F93" w:rsidRPr="00445FD6">
        <w:rPr>
          <w:rFonts w:ascii="Garamond" w:hAnsi="Garamond" w:cs="Andalus"/>
          <w:sz w:val="24"/>
          <w:szCs w:val="24"/>
          <w:lang w:val="sq-AL"/>
        </w:rPr>
        <w:t>shndërroj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 degën në subjekt të varur të bankës së huaj </w:t>
      </w:r>
      <w:r w:rsidR="00452D5F" w:rsidRPr="00445FD6">
        <w:rPr>
          <w:rFonts w:ascii="Garamond" w:hAnsi="Garamond" w:cs="Andalus"/>
          <w:sz w:val="24"/>
          <w:szCs w:val="24"/>
          <w:lang w:val="sq-AL"/>
        </w:rPr>
        <w:t>edhe për arsyet në vijim:</w:t>
      </w:r>
    </w:p>
    <w:p w:rsidR="000B6709" w:rsidRPr="00445FD6" w:rsidRDefault="000B6709" w:rsidP="00445FD6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ekziston ndonjë ndryshim material në pronësinë apo menaxhmentin e bankës së huaj për të cilën BQK-ja ka arsye të bazuara për shqetësim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;</w:t>
      </w:r>
    </w:p>
    <w:p w:rsidR="000B6709" w:rsidRPr="00445FD6" w:rsidRDefault="000B6709" w:rsidP="00445FD6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ekziston rënie materiale në gjendjen financiare të bankës së huaj apo banka e huaj i nënshtrohet sanksioneve nga mbikëqyrësi i saj nga vendi amë për shkelje materiale të ligjit ose praktikave të pasigurta dhe të pamatura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;</w:t>
      </w:r>
    </w:p>
    <w:p w:rsidR="000B6709" w:rsidRPr="00445FD6" w:rsidRDefault="000B6709" w:rsidP="00445FD6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BQK-ja konsideron se operacionet e degës mund të rrezikojnë stabilitetin financiar të sektorit banka ose mund të jenë të dëmsh</w:t>
      </w:r>
      <w:r w:rsidR="00C536CE" w:rsidRPr="00445FD6">
        <w:rPr>
          <w:rFonts w:ascii="Garamond" w:hAnsi="Garamond" w:cs="Andalus"/>
          <w:sz w:val="24"/>
          <w:szCs w:val="24"/>
          <w:lang w:val="sq-AL"/>
        </w:rPr>
        <w:t>me për interesin e depozitorëve;</w:t>
      </w:r>
      <w:r w:rsidRPr="00445FD6">
        <w:rPr>
          <w:rFonts w:ascii="Garamond" w:hAnsi="Garamond" w:cs="Andalus"/>
          <w:sz w:val="24"/>
          <w:szCs w:val="24"/>
          <w:lang w:val="sq-AL"/>
        </w:rPr>
        <w:t xml:space="preserve"> apo</w:t>
      </w:r>
    </w:p>
    <w:p w:rsidR="000B6709" w:rsidRPr="00445FD6" w:rsidRDefault="000B6709" w:rsidP="00445FD6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BQK-ja konsideron se mbikëqyrja nga mbikëqyrësi i vendit amë është joadekuate.</w:t>
      </w:r>
    </w:p>
    <w:p w:rsidR="00452D5F" w:rsidRPr="00445FD6" w:rsidRDefault="00721B54" w:rsidP="00445FD6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445FD6">
        <w:rPr>
          <w:rFonts w:ascii="Garamond" w:hAnsi="Garamond" w:cs="Andalus"/>
          <w:sz w:val="24"/>
          <w:szCs w:val="24"/>
          <w:lang w:val="sq-AL"/>
        </w:rPr>
        <w:t>Ç</w:t>
      </w:r>
      <w:r w:rsidR="00B6410E" w:rsidRPr="00445FD6">
        <w:rPr>
          <w:rFonts w:ascii="Garamond" w:hAnsi="Garamond" w:cs="Andalus"/>
          <w:sz w:val="24"/>
          <w:szCs w:val="24"/>
          <w:lang w:val="sq-AL"/>
        </w:rPr>
        <w:t>do bankë e huaj që operon në një degë në Kosovë duhet t’i mbajë kërkesat e banorëve të Kosovës më të larta sesa detyrimet e saj ndaj banorëve të Kosovës në shumën e specifikuar me rregullore ose urdhëresë të BQK-së.</w:t>
      </w:r>
      <w:r w:rsidR="00267844" w:rsidRPr="00445FD6">
        <w:rPr>
          <w:rFonts w:ascii="Garamond" w:hAnsi="Garamond" w:cs="Andalus"/>
          <w:sz w:val="24"/>
          <w:szCs w:val="24"/>
          <w:lang w:val="sq-AL"/>
        </w:rPr>
        <w:t xml:space="preserve"> </w:t>
      </w:r>
    </w:p>
    <w:sectPr w:rsidR="00452D5F" w:rsidRPr="00445FD6" w:rsidSect="00445FD6">
      <w:pgSz w:w="12240" w:h="15840"/>
      <w:pgMar w:top="1080" w:right="90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77" w:rsidRDefault="00605677" w:rsidP="00311AE3">
      <w:pPr>
        <w:spacing w:after="0" w:line="240" w:lineRule="auto"/>
      </w:pPr>
      <w:r>
        <w:separator/>
      </w:r>
    </w:p>
  </w:endnote>
  <w:endnote w:type="continuationSeparator" w:id="0">
    <w:p w:rsidR="00605677" w:rsidRDefault="00605677" w:rsidP="0031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77" w:rsidRDefault="00605677" w:rsidP="00311AE3">
      <w:pPr>
        <w:spacing w:after="0" w:line="240" w:lineRule="auto"/>
      </w:pPr>
      <w:r>
        <w:separator/>
      </w:r>
    </w:p>
  </w:footnote>
  <w:footnote w:type="continuationSeparator" w:id="0">
    <w:p w:rsidR="00605677" w:rsidRDefault="00605677" w:rsidP="0031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5E"/>
    <w:multiLevelType w:val="hybridMultilevel"/>
    <w:tmpl w:val="5E58C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6B46"/>
    <w:multiLevelType w:val="hybridMultilevel"/>
    <w:tmpl w:val="726ABBCE"/>
    <w:lvl w:ilvl="0" w:tplc="AE7E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1D6D"/>
    <w:multiLevelType w:val="hybridMultilevel"/>
    <w:tmpl w:val="003410E2"/>
    <w:lvl w:ilvl="0" w:tplc="079E8B1A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27A4B"/>
    <w:multiLevelType w:val="hybridMultilevel"/>
    <w:tmpl w:val="CFEC18F2"/>
    <w:lvl w:ilvl="0" w:tplc="AE7E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E6520"/>
    <w:multiLevelType w:val="hybridMultilevel"/>
    <w:tmpl w:val="6F2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jar Meka">
    <w15:presenceInfo w15:providerId="AD" w15:userId="S-1-5-21-945712771-1306679582-1185154334-1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8"/>
    <w:rsid w:val="000A47C5"/>
    <w:rsid w:val="000B6709"/>
    <w:rsid w:val="00165ED8"/>
    <w:rsid w:val="00267844"/>
    <w:rsid w:val="002B764E"/>
    <w:rsid w:val="002D5EBD"/>
    <w:rsid w:val="00311AE3"/>
    <w:rsid w:val="003317BC"/>
    <w:rsid w:val="00355522"/>
    <w:rsid w:val="003A374E"/>
    <w:rsid w:val="00445FD6"/>
    <w:rsid w:val="00452D5F"/>
    <w:rsid w:val="004C6BFA"/>
    <w:rsid w:val="004E6401"/>
    <w:rsid w:val="00527000"/>
    <w:rsid w:val="005E02CE"/>
    <w:rsid w:val="00605677"/>
    <w:rsid w:val="00721B54"/>
    <w:rsid w:val="0076217D"/>
    <w:rsid w:val="007E5CE9"/>
    <w:rsid w:val="008C24D5"/>
    <w:rsid w:val="00957C3F"/>
    <w:rsid w:val="009E687B"/>
    <w:rsid w:val="009E7E6C"/>
    <w:rsid w:val="00AE466C"/>
    <w:rsid w:val="00B6410E"/>
    <w:rsid w:val="00BC1685"/>
    <w:rsid w:val="00BF4230"/>
    <w:rsid w:val="00C17F93"/>
    <w:rsid w:val="00C536CE"/>
    <w:rsid w:val="00C7283B"/>
    <w:rsid w:val="00CD162D"/>
    <w:rsid w:val="00CF24C6"/>
    <w:rsid w:val="00D43C50"/>
    <w:rsid w:val="00D47FC5"/>
    <w:rsid w:val="00E63AC9"/>
    <w:rsid w:val="00E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E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1A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A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A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E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1A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A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CB45-1C71-40CC-9AC8-A22235C4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2</cp:revision>
  <dcterms:created xsi:type="dcterms:W3CDTF">2017-06-30T08:40:00Z</dcterms:created>
  <dcterms:modified xsi:type="dcterms:W3CDTF">2017-06-30T08:40:00Z</dcterms:modified>
</cp:coreProperties>
</file>