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4E" w:rsidRDefault="00165ED8" w:rsidP="00165ED8">
      <w:pPr>
        <w:jc w:val="center"/>
        <w:rPr>
          <w:rFonts w:ascii="Andalus" w:hAnsi="Andalus" w:cs="Andalus"/>
        </w:rPr>
      </w:pPr>
      <w:r w:rsidRPr="00284208">
        <w:rPr>
          <w:rFonts w:ascii="Andalus" w:hAnsi="Andalus" w:cs="Andalus"/>
          <w:noProof/>
        </w:rPr>
        <w:drawing>
          <wp:inline distT="0" distB="0" distL="0" distR="0" wp14:anchorId="7759335F" wp14:editId="3414BE05">
            <wp:extent cx="1748155" cy="8267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8155" cy="826770"/>
                    </a:xfrm>
                    <a:prstGeom prst="rect">
                      <a:avLst/>
                    </a:prstGeom>
                    <a:noFill/>
                    <a:ln>
                      <a:noFill/>
                    </a:ln>
                  </pic:spPr>
                </pic:pic>
              </a:graphicData>
            </a:graphic>
          </wp:inline>
        </w:drawing>
      </w:r>
    </w:p>
    <w:p w:rsidR="00431169" w:rsidRPr="009D69D0" w:rsidRDefault="00431169" w:rsidP="00165ED8">
      <w:pPr>
        <w:jc w:val="center"/>
        <w:rPr>
          <w:rFonts w:ascii="Garamond" w:hAnsi="Garamond" w:cs="Andalus"/>
        </w:rPr>
      </w:pPr>
    </w:p>
    <w:p w:rsidR="0086767C" w:rsidRDefault="0086767C" w:rsidP="0086767C">
      <w:pPr>
        <w:spacing w:after="0" w:line="240" w:lineRule="auto"/>
        <w:jc w:val="center"/>
        <w:rPr>
          <w:rFonts w:ascii="Garamond" w:hAnsi="Garamond" w:cs="Andalus"/>
          <w:b/>
          <w:sz w:val="36"/>
          <w:lang w:val="sq-AL"/>
        </w:rPr>
      </w:pPr>
      <w:r w:rsidRPr="00002CF3">
        <w:rPr>
          <w:rFonts w:ascii="Garamond" w:hAnsi="Garamond" w:cs="Andalus"/>
          <w:b/>
          <w:sz w:val="36"/>
          <w:lang w:val="sq-AL"/>
        </w:rPr>
        <w:t xml:space="preserve">SHTOJCA II – KRITERET E BQK-së </w:t>
      </w:r>
    </w:p>
    <w:p w:rsidR="0086767C" w:rsidRPr="00002CF3" w:rsidRDefault="0086767C" w:rsidP="0086767C">
      <w:pPr>
        <w:jc w:val="center"/>
        <w:rPr>
          <w:rFonts w:ascii="Garamond" w:hAnsi="Garamond" w:cs="Andalus"/>
          <w:b/>
          <w:sz w:val="36"/>
          <w:lang w:val="sq-AL"/>
        </w:rPr>
      </w:pPr>
      <w:r w:rsidRPr="00002CF3">
        <w:rPr>
          <w:rFonts w:ascii="Garamond" w:hAnsi="Garamond" w:cs="Andalus"/>
          <w:b/>
          <w:sz w:val="36"/>
          <w:lang w:val="sq-AL"/>
        </w:rPr>
        <w:t xml:space="preserve">PËR LICENCIM </w:t>
      </w:r>
      <w:r>
        <w:rPr>
          <w:rFonts w:ascii="Garamond" w:hAnsi="Garamond" w:cs="Andalus"/>
          <w:b/>
          <w:sz w:val="36"/>
          <w:lang w:val="sq-AL"/>
        </w:rPr>
        <w:t>TË SIGURUESVE</w:t>
      </w:r>
    </w:p>
    <w:p w:rsidR="00431169" w:rsidRPr="009D69D0" w:rsidRDefault="00431169" w:rsidP="009D69D0">
      <w:pPr>
        <w:spacing w:after="120"/>
        <w:jc w:val="both"/>
        <w:rPr>
          <w:rFonts w:ascii="Garamond" w:hAnsi="Garamond" w:cs="Andalus"/>
          <w:b/>
          <w:lang w:val="sq-AL"/>
        </w:rPr>
      </w:pPr>
    </w:p>
    <w:p w:rsidR="00165ED8" w:rsidRPr="009D69D0" w:rsidRDefault="00165ED8" w:rsidP="009D69D0">
      <w:pPr>
        <w:spacing w:after="120"/>
        <w:jc w:val="both"/>
        <w:rPr>
          <w:rFonts w:ascii="Garamond" w:hAnsi="Garamond" w:cs="Andalus"/>
          <w:sz w:val="24"/>
          <w:lang w:val="sq-AL"/>
        </w:rPr>
      </w:pPr>
      <w:r w:rsidRPr="009D69D0">
        <w:rPr>
          <w:rFonts w:ascii="Garamond" w:hAnsi="Garamond" w:cs="Andalus"/>
          <w:sz w:val="24"/>
          <w:lang w:val="sq-AL"/>
        </w:rPr>
        <w:t>Kriteret</w:t>
      </w:r>
      <w:r w:rsidR="00D42FFF" w:rsidRPr="009D69D0">
        <w:rPr>
          <w:rFonts w:ascii="Garamond" w:hAnsi="Garamond" w:cs="Andalus"/>
          <w:sz w:val="24"/>
          <w:lang w:val="sq-AL"/>
        </w:rPr>
        <w:t xml:space="preserve"> e licencimit </w:t>
      </w:r>
      <w:r w:rsidR="009D69D0">
        <w:rPr>
          <w:rFonts w:ascii="Garamond" w:hAnsi="Garamond" w:cs="Andalus"/>
          <w:sz w:val="24"/>
          <w:lang w:val="sq-AL"/>
        </w:rPr>
        <w:t>sigurues</w:t>
      </w:r>
      <w:r w:rsidR="009D69D0" w:rsidRPr="009D69D0">
        <w:rPr>
          <w:rFonts w:ascii="Garamond" w:hAnsi="Garamond" w:cs="Andalus"/>
          <w:sz w:val="24"/>
          <w:lang w:val="sq-AL"/>
        </w:rPr>
        <w:t xml:space="preserve"> </w:t>
      </w:r>
      <w:r w:rsidRPr="009D69D0">
        <w:rPr>
          <w:rFonts w:ascii="Garamond" w:hAnsi="Garamond" w:cs="Andalus"/>
          <w:sz w:val="24"/>
          <w:lang w:val="sq-AL"/>
        </w:rPr>
        <w:t xml:space="preserve">në Republikën e Kosovës janë përcaktuar në nenin </w:t>
      </w:r>
      <w:r w:rsidR="00640B81" w:rsidRPr="009D69D0">
        <w:rPr>
          <w:rFonts w:ascii="Garamond" w:hAnsi="Garamond" w:cs="Andalus"/>
          <w:sz w:val="24"/>
          <w:lang w:val="sq-AL"/>
        </w:rPr>
        <w:t>11</w:t>
      </w:r>
      <w:r w:rsidRPr="009D69D0">
        <w:rPr>
          <w:rFonts w:ascii="Garamond" w:hAnsi="Garamond" w:cs="Andalus"/>
          <w:sz w:val="24"/>
          <w:lang w:val="sq-AL"/>
        </w:rPr>
        <w:t>, paragrafi 3</w:t>
      </w:r>
      <w:r w:rsidR="00640B81" w:rsidRPr="009D69D0">
        <w:rPr>
          <w:rFonts w:ascii="Garamond" w:hAnsi="Garamond" w:cs="Andalus"/>
          <w:sz w:val="24"/>
          <w:lang w:val="sq-AL"/>
        </w:rPr>
        <w:t>,</w:t>
      </w:r>
      <w:r w:rsidRPr="009D69D0">
        <w:rPr>
          <w:rFonts w:ascii="Garamond" w:hAnsi="Garamond" w:cs="Andalus"/>
          <w:sz w:val="24"/>
          <w:lang w:val="sq-AL"/>
        </w:rPr>
        <w:t xml:space="preserve">4 </w:t>
      </w:r>
      <w:r w:rsidR="00640B81" w:rsidRPr="009D69D0">
        <w:rPr>
          <w:rFonts w:ascii="Garamond" w:hAnsi="Garamond" w:cs="Andalus"/>
          <w:sz w:val="24"/>
          <w:lang w:val="sq-AL"/>
        </w:rPr>
        <w:t xml:space="preserve"> dhe 5</w:t>
      </w:r>
      <w:r w:rsidR="0086767C" w:rsidRPr="009D69D0">
        <w:rPr>
          <w:rFonts w:ascii="Garamond" w:hAnsi="Garamond" w:cs="Andalus"/>
          <w:sz w:val="24"/>
          <w:lang w:val="sq-AL"/>
        </w:rPr>
        <w:t xml:space="preserve"> </w:t>
      </w:r>
      <w:r w:rsidRPr="009D69D0">
        <w:rPr>
          <w:rFonts w:ascii="Garamond" w:hAnsi="Garamond" w:cs="Andalus"/>
          <w:sz w:val="24"/>
          <w:lang w:val="sq-AL"/>
        </w:rPr>
        <w:t xml:space="preserve">të Ligjit nr. </w:t>
      </w:r>
      <w:r w:rsidR="00640B81" w:rsidRPr="009D69D0">
        <w:rPr>
          <w:rFonts w:ascii="Garamond" w:hAnsi="Garamond" w:cs="Andalus"/>
          <w:sz w:val="24"/>
          <w:lang w:val="sq-AL"/>
        </w:rPr>
        <w:t>05</w:t>
      </w:r>
      <w:r w:rsidRPr="009D69D0">
        <w:rPr>
          <w:rFonts w:ascii="Garamond" w:hAnsi="Garamond" w:cs="Andalus"/>
          <w:sz w:val="24"/>
          <w:lang w:val="sq-AL"/>
        </w:rPr>
        <w:t>/L-</w:t>
      </w:r>
      <w:r w:rsidR="00640B81" w:rsidRPr="009D69D0">
        <w:rPr>
          <w:rFonts w:ascii="Garamond" w:hAnsi="Garamond" w:cs="Andalus"/>
          <w:sz w:val="24"/>
          <w:lang w:val="sq-AL"/>
        </w:rPr>
        <w:t>045 Sigurimet</w:t>
      </w:r>
      <w:r w:rsidRPr="009D69D0">
        <w:rPr>
          <w:rFonts w:ascii="Garamond" w:hAnsi="Garamond" w:cs="Andalus"/>
          <w:sz w:val="24"/>
          <w:lang w:val="sq-AL"/>
        </w:rPr>
        <w:t xml:space="preserve">. Sipas këtyre dispozitave, Banka Qendrore e Republikës së Kosovës (BQK) miraton një licencë </w:t>
      </w:r>
      <w:r w:rsidR="009D69D0">
        <w:rPr>
          <w:rFonts w:ascii="Garamond" w:hAnsi="Garamond" w:cs="Andalus"/>
          <w:sz w:val="24"/>
          <w:lang w:val="sq-AL"/>
        </w:rPr>
        <w:t>siguruese</w:t>
      </w:r>
      <w:r w:rsidR="009D69D0" w:rsidRPr="009D69D0">
        <w:rPr>
          <w:rFonts w:ascii="Garamond" w:hAnsi="Garamond" w:cs="Andalus"/>
          <w:sz w:val="24"/>
          <w:lang w:val="sq-AL"/>
        </w:rPr>
        <w:t xml:space="preserve"> </w:t>
      </w:r>
      <w:r w:rsidRPr="009D69D0">
        <w:rPr>
          <w:rFonts w:ascii="Garamond" w:hAnsi="Garamond" w:cs="Andalus"/>
          <w:sz w:val="24"/>
          <w:lang w:val="sq-AL"/>
        </w:rPr>
        <w:t>kur të plotësohen kushtet e mëposhtme:</w:t>
      </w:r>
    </w:p>
    <w:p w:rsidR="00CC2377" w:rsidRPr="009D69D0" w:rsidRDefault="00CC2377" w:rsidP="009D69D0">
      <w:pPr>
        <w:numPr>
          <w:ilvl w:val="0"/>
          <w:numId w:val="1"/>
        </w:numPr>
        <w:spacing w:after="120"/>
        <w:jc w:val="both"/>
        <w:rPr>
          <w:rFonts w:ascii="Garamond" w:eastAsia="Times New Roman" w:hAnsi="Garamond" w:cs="Andalus"/>
          <w:sz w:val="24"/>
          <w:lang w:val="sq-AL"/>
        </w:rPr>
      </w:pPr>
      <w:r w:rsidRPr="009D69D0">
        <w:rPr>
          <w:rFonts w:ascii="Garamond" w:eastAsia="Times New Roman" w:hAnsi="Garamond" w:cs="Andalus"/>
          <w:sz w:val="24"/>
          <w:lang w:val="sq-AL" w:eastAsia="tr-TR"/>
        </w:rPr>
        <w:t xml:space="preserve">Nëse plani i biznesit bazohet në analiza të sakta dhe  në supozime të arsyeshme; </w:t>
      </w:r>
    </w:p>
    <w:p w:rsidR="00CC2377" w:rsidRPr="009D69D0" w:rsidRDefault="00CC2377" w:rsidP="009D69D0">
      <w:pPr>
        <w:numPr>
          <w:ilvl w:val="0"/>
          <w:numId w:val="1"/>
        </w:numPr>
        <w:spacing w:after="120"/>
        <w:jc w:val="both"/>
        <w:rPr>
          <w:rFonts w:ascii="Garamond" w:eastAsia="Times New Roman" w:hAnsi="Garamond" w:cs="Andalus"/>
          <w:sz w:val="24"/>
          <w:lang w:val="sq-AL"/>
        </w:rPr>
      </w:pPr>
      <w:r w:rsidRPr="009D69D0">
        <w:rPr>
          <w:rFonts w:ascii="Garamond" w:eastAsia="Times New Roman" w:hAnsi="Garamond" w:cs="Andalus"/>
          <w:sz w:val="24"/>
          <w:lang w:val="sq-AL" w:eastAsia="tr-TR"/>
        </w:rPr>
        <w:t>Struktura organizative e siguruesit së propozuar dhe degëve të tij do t’i lejojë BQK-së të ushtrojë mbikëqyrje efektive dhe të konsoliduar</w:t>
      </w:r>
      <w:bookmarkStart w:id="0" w:name="_GoBack"/>
      <w:bookmarkEnd w:id="0"/>
      <w:r w:rsidRPr="009D69D0">
        <w:rPr>
          <w:rFonts w:ascii="Garamond" w:eastAsia="Times New Roman" w:hAnsi="Garamond" w:cs="Andalus"/>
          <w:sz w:val="24"/>
          <w:lang w:val="sq-AL" w:eastAsia="tr-TR"/>
        </w:rPr>
        <w:t>;</w:t>
      </w:r>
    </w:p>
    <w:p w:rsidR="00CC2377" w:rsidRPr="009D69D0" w:rsidRDefault="00CC2377" w:rsidP="009D69D0">
      <w:pPr>
        <w:numPr>
          <w:ilvl w:val="0"/>
          <w:numId w:val="1"/>
        </w:numPr>
        <w:spacing w:after="120"/>
        <w:jc w:val="both"/>
        <w:rPr>
          <w:rFonts w:ascii="Garamond" w:eastAsia="Times New Roman" w:hAnsi="Garamond" w:cs="Andalus"/>
          <w:sz w:val="24"/>
          <w:lang w:val="sq-AL"/>
        </w:rPr>
      </w:pPr>
      <w:r w:rsidRPr="009D69D0">
        <w:rPr>
          <w:rFonts w:ascii="Garamond" w:eastAsia="Times New Roman" w:hAnsi="Garamond" w:cs="Andalus"/>
          <w:sz w:val="24"/>
          <w:lang w:val="sq-AL" w:eastAsia="tr-TR"/>
        </w:rPr>
        <w:t>Primet e llogaritura dhe provizionet teknike ose matematike janë të mjaftueshme për mbulimin e përgjegjësive të siguruesit;</w:t>
      </w:r>
    </w:p>
    <w:p w:rsidR="00CC2377" w:rsidRPr="009D69D0" w:rsidRDefault="00CC2377" w:rsidP="009D69D0">
      <w:pPr>
        <w:numPr>
          <w:ilvl w:val="0"/>
          <w:numId w:val="1"/>
        </w:numPr>
        <w:spacing w:after="120"/>
        <w:jc w:val="both"/>
        <w:rPr>
          <w:rFonts w:ascii="Garamond" w:eastAsia="Times New Roman" w:hAnsi="Garamond" w:cs="Andalus"/>
          <w:sz w:val="24"/>
          <w:lang w:val="sq-AL"/>
        </w:rPr>
      </w:pPr>
      <w:r w:rsidRPr="009D69D0">
        <w:rPr>
          <w:rFonts w:ascii="Garamond" w:eastAsia="Times New Roman" w:hAnsi="Garamond" w:cs="Andalus"/>
          <w:sz w:val="24"/>
          <w:lang w:val="sq-AL" w:eastAsia="tr-TR"/>
        </w:rPr>
        <w:t xml:space="preserve">Siguruesi i propozuar do të veprojë në pajtueshmëri me të gjitha dispozitat e </w:t>
      </w:r>
      <w:r w:rsidR="0086767C" w:rsidRPr="009D69D0">
        <w:rPr>
          <w:rFonts w:ascii="Garamond" w:eastAsia="Times New Roman" w:hAnsi="Garamond" w:cs="Andalus"/>
          <w:sz w:val="24"/>
          <w:lang w:val="sq-AL" w:eastAsia="tr-TR"/>
        </w:rPr>
        <w:t>Ligjit nr. 05/L-045 Sigurimet</w:t>
      </w:r>
      <w:r w:rsidRPr="009D69D0">
        <w:rPr>
          <w:rFonts w:ascii="Garamond" w:eastAsia="Times New Roman" w:hAnsi="Garamond" w:cs="Andalus"/>
          <w:sz w:val="24"/>
          <w:lang w:val="sq-AL" w:eastAsia="tr-TR"/>
        </w:rPr>
        <w:t xml:space="preserve">; </w:t>
      </w:r>
    </w:p>
    <w:p w:rsidR="00CC2377" w:rsidRPr="009D69D0" w:rsidRDefault="00CC2377" w:rsidP="009D69D0">
      <w:pPr>
        <w:numPr>
          <w:ilvl w:val="0"/>
          <w:numId w:val="1"/>
        </w:numPr>
        <w:spacing w:after="120"/>
        <w:jc w:val="both"/>
        <w:rPr>
          <w:rFonts w:ascii="Garamond" w:eastAsia="Times New Roman" w:hAnsi="Garamond" w:cs="Andalus"/>
          <w:sz w:val="24"/>
          <w:lang w:val="sq-AL"/>
        </w:rPr>
      </w:pPr>
      <w:r w:rsidRPr="009D69D0">
        <w:rPr>
          <w:rFonts w:ascii="Garamond" w:eastAsia="Times New Roman" w:hAnsi="Garamond" w:cs="Andalus"/>
          <w:sz w:val="24"/>
          <w:lang w:val="sq-AL" w:eastAsia="tr-TR"/>
        </w:rPr>
        <w:t xml:space="preserve">Kualifikimet, përvoja dhe integriteti i drejtorëve apo menaxherëve të saj të lartë janë të përshtatshëm për planin e biznesit të siguruesit të propozuar dhe aktiviteteve të sigurimit; </w:t>
      </w:r>
    </w:p>
    <w:p w:rsidR="00CC2377" w:rsidRPr="009D69D0" w:rsidRDefault="00CC2377" w:rsidP="009D69D0">
      <w:pPr>
        <w:numPr>
          <w:ilvl w:val="0"/>
          <w:numId w:val="1"/>
        </w:numPr>
        <w:spacing w:after="120"/>
        <w:jc w:val="both"/>
        <w:rPr>
          <w:rFonts w:ascii="Garamond" w:eastAsia="Times New Roman" w:hAnsi="Garamond" w:cs="Andalus"/>
          <w:sz w:val="24"/>
          <w:lang w:val="sq-AL"/>
        </w:rPr>
      </w:pPr>
      <w:r w:rsidRPr="009D69D0">
        <w:rPr>
          <w:rFonts w:ascii="Garamond" w:eastAsia="Times New Roman" w:hAnsi="Garamond" w:cs="Andalus"/>
          <w:sz w:val="24"/>
          <w:lang w:val="sq-AL" w:eastAsia="tr-TR"/>
        </w:rPr>
        <w:t xml:space="preserve">Aksionarët kryesorë, drejtorët dhe menaxherët e lartë të siguruesit të propozuar janë të përshtatshëm dhe të duhur, siç përcaktohet me nenin 24 të </w:t>
      </w:r>
      <w:r w:rsidR="0086767C" w:rsidRPr="009D69D0">
        <w:rPr>
          <w:rFonts w:ascii="Garamond" w:hAnsi="Garamond" w:cs="Andalus"/>
          <w:sz w:val="24"/>
          <w:lang w:val="sq-AL"/>
        </w:rPr>
        <w:t>Ligjit nr. 05/L-045 Sigurimet</w:t>
      </w:r>
      <w:r w:rsidR="0086767C" w:rsidRPr="009D69D0" w:rsidDel="0086767C">
        <w:rPr>
          <w:rFonts w:ascii="Garamond" w:eastAsia="Times New Roman" w:hAnsi="Garamond" w:cs="Andalus"/>
          <w:sz w:val="24"/>
          <w:lang w:val="sq-AL" w:eastAsia="tr-TR"/>
        </w:rPr>
        <w:t xml:space="preserve"> </w:t>
      </w:r>
      <w:r w:rsidRPr="009D69D0">
        <w:rPr>
          <w:rFonts w:ascii="Garamond" w:eastAsia="Times New Roman" w:hAnsi="Garamond" w:cs="Andalus"/>
          <w:sz w:val="24"/>
          <w:lang w:val="sq-AL" w:eastAsia="tr-TR"/>
        </w:rPr>
        <w:t xml:space="preserve">dhe përcaktimeve tjera nga BQK-ja; dhe </w:t>
      </w:r>
    </w:p>
    <w:p w:rsidR="00165ED8" w:rsidRPr="009D69D0" w:rsidRDefault="00CC2377" w:rsidP="009D69D0">
      <w:pPr>
        <w:pStyle w:val="ListParagraph"/>
        <w:numPr>
          <w:ilvl w:val="0"/>
          <w:numId w:val="1"/>
        </w:numPr>
        <w:spacing w:after="120"/>
        <w:contextualSpacing w:val="0"/>
        <w:jc w:val="both"/>
        <w:rPr>
          <w:rFonts w:ascii="Garamond" w:hAnsi="Garamond" w:cs="Andalus"/>
          <w:sz w:val="24"/>
          <w:lang w:val="sq-AL"/>
        </w:rPr>
      </w:pPr>
      <w:r w:rsidRPr="009D69D0">
        <w:rPr>
          <w:rFonts w:ascii="Garamond" w:eastAsia="Times New Roman" w:hAnsi="Garamond" w:cs="Andalus"/>
          <w:sz w:val="24"/>
          <w:lang w:val="sq-AL" w:eastAsia="tr-TR"/>
        </w:rPr>
        <w:t>Struktura e pronësisë së siguruesit, nuk do të pengoj mbikëqyrjen efektive prej BQK-së.</w:t>
      </w:r>
    </w:p>
    <w:p w:rsidR="00165ED8" w:rsidRPr="009D69D0" w:rsidRDefault="00165ED8" w:rsidP="009D69D0">
      <w:pPr>
        <w:spacing w:after="120"/>
        <w:jc w:val="both"/>
        <w:rPr>
          <w:rFonts w:ascii="Garamond" w:hAnsi="Garamond" w:cs="Andalus"/>
          <w:sz w:val="24"/>
          <w:lang w:val="sq-AL"/>
        </w:rPr>
      </w:pPr>
      <w:r w:rsidRPr="009D69D0">
        <w:rPr>
          <w:rFonts w:ascii="Garamond" w:hAnsi="Garamond" w:cs="Andalus"/>
          <w:sz w:val="24"/>
          <w:lang w:val="sq-AL"/>
        </w:rPr>
        <w:t xml:space="preserve">Në rastet kur kemi të bëjmë me aplikacione për licencim si subjekt i varur apo degë e </w:t>
      </w:r>
      <w:r w:rsidR="009D69D0">
        <w:rPr>
          <w:rFonts w:ascii="Garamond" w:hAnsi="Garamond" w:cs="Andalus"/>
          <w:sz w:val="24"/>
          <w:lang w:val="sq-AL"/>
        </w:rPr>
        <w:t>siguruesit</w:t>
      </w:r>
      <w:r w:rsidR="009D69D0" w:rsidRPr="009D69D0">
        <w:rPr>
          <w:rFonts w:ascii="Garamond" w:hAnsi="Garamond" w:cs="Andalus"/>
          <w:sz w:val="24"/>
          <w:lang w:val="sq-AL"/>
        </w:rPr>
        <w:t xml:space="preserve"> </w:t>
      </w:r>
      <w:r w:rsidR="009D69D0">
        <w:rPr>
          <w:rFonts w:ascii="Garamond" w:hAnsi="Garamond" w:cs="Andalus"/>
          <w:sz w:val="24"/>
          <w:lang w:val="sq-AL"/>
        </w:rPr>
        <w:t>t</w:t>
      </w:r>
      <w:r w:rsidRPr="009D69D0">
        <w:rPr>
          <w:rFonts w:ascii="Garamond" w:hAnsi="Garamond" w:cs="Andalus"/>
          <w:sz w:val="24"/>
          <w:lang w:val="sq-AL"/>
        </w:rPr>
        <w:t xml:space="preserve">ë </w:t>
      </w:r>
      <w:r w:rsidR="009D69D0">
        <w:rPr>
          <w:rFonts w:ascii="Garamond" w:hAnsi="Garamond" w:cs="Andalus"/>
          <w:sz w:val="24"/>
          <w:lang w:val="sq-AL"/>
        </w:rPr>
        <w:t>jashtëm</w:t>
      </w:r>
      <w:r w:rsidRPr="009D69D0">
        <w:rPr>
          <w:rFonts w:ascii="Garamond" w:hAnsi="Garamond" w:cs="Andalus"/>
          <w:sz w:val="24"/>
          <w:lang w:val="sq-AL"/>
        </w:rPr>
        <w:t>, subjektet aplikuese duhet të plotësojnë edhe kriteret e mëposhtme:</w:t>
      </w:r>
    </w:p>
    <w:p w:rsidR="00CC2377" w:rsidRPr="009D69D0" w:rsidRDefault="00CC2377" w:rsidP="009D69D0">
      <w:pPr>
        <w:pStyle w:val="ListParagraph"/>
        <w:numPr>
          <w:ilvl w:val="0"/>
          <w:numId w:val="8"/>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Siguruesi i jashtëm është i licencuar për t’u angazhuar në veprimtarinë e sigurimit në juridiksionin ku gjendet drejtoria e saj qendrore; </w:t>
      </w:r>
    </w:p>
    <w:p w:rsidR="00CC2377" w:rsidRPr="009D69D0" w:rsidRDefault="00CC2377" w:rsidP="009D69D0">
      <w:pPr>
        <w:pStyle w:val="ListParagraph"/>
        <w:numPr>
          <w:ilvl w:val="0"/>
          <w:numId w:val="8"/>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Autoriteti mbikëqyrës përgjegjës ku ka selinë qendrore siguruesi i jashtëm, ka dhënë pëlqimin e tij me shkrim për dhënien e licencës së këtillë; dhe</w:t>
      </w:r>
    </w:p>
    <w:p w:rsidR="00CC2377" w:rsidRPr="009D69D0" w:rsidRDefault="00CC2377" w:rsidP="009D69D0">
      <w:pPr>
        <w:numPr>
          <w:ilvl w:val="0"/>
          <w:numId w:val="8"/>
        </w:numPr>
        <w:spacing w:after="12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BQK-ja vlerëson se siguruesi i jashtëm mbikëqyret në mënyrë adekuate në bazë të konsoliduar globale nga autoriteti mbikëqyrës përgjegjës në shtetin amë. Autoriteti mbikëqyrës përgjegjës nga shteti amë, duhet ta pranojë me shkrim se është në dijeni të dhënies së licencës së re dhe pajtohet që t’i ofrojë informata BQK-së me kërkesë të saj.</w:t>
      </w:r>
    </w:p>
    <w:p w:rsidR="004E75C8" w:rsidRPr="009D69D0" w:rsidRDefault="004E75C8" w:rsidP="009D69D0">
      <w:pPr>
        <w:spacing w:after="12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lastRenderedPageBreak/>
        <w:t xml:space="preserve">Dhe, në rast të miratimit paraprak të një kërkese për licencë, BQK-ja përcakton të gjitha kushtet për siguruesit të cilit i jepet licenca për fillimin e operacioneve të saj. Kushtet e këtilla mund të përfshijnë: </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Pagesën e kapitalit fillestar që aksionarët duhet të bëjnë për siguruesin; </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Punësimin dhe trajnimin e personelit të siguruesit; </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Blerjen e pajisjeve operative dhe përcaktimin e sistemeve operative; </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Marrjen me qira, blerjen ose zotërimin e lokaleve të siguruesit; </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Primet e llogaritura dhe provizionet teknike ose matematike janë të mjaftueshme për mbulimin e përgjegjësive të siguruesit;</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Draft-kontratat e sigurimit sipas klasave ku siguruesi kërkon të licencohet;</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Angazhimin e një auditori të jashtëm dhe aktuari në përputhje me Ligj</w:t>
      </w:r>
      <w:r w:rsidR="009D69D0">
        <w:rPr>
          <w:rFonts w:ascii="Garamond" w:eastAsia="Times New Roman" w:hAnsi="Garamond" w:cs="Andalus"/>
          <w:sz w:val="24"/>
          <w:lang w:val="sq-AL" w:eastAsia="tr-TR"/>
        </w:rPr>
        <w:t>in për Sigurimet</w:t>
      </w:r>
      <w:r w:rsidRPr="009D69D0">
        <w:rPr>
          <w:rFonts w:ascii="Garamond" w:eastAsia="Times New Roman" w:hAnsi="Garamond" w:cs="Andalus"/>
          <w:sz w:val="24"/>
          <w:lang w:val="sq-AL" w:eastAsia="tr-TR"/>
        </w:rPr>
        <w:t xml:space="preserve">; </w:t>
      </w:r>
    </w:p>
    <w:p w:rsidR="004E75C8" w:rsidRPr="009D69D0" w:rsidRDefault="004E75C8" w:rsidP="009D69D0">
      <w:pPr>
        <w:pStyle w:val="ListParagraph"/>
        <w:numPr>
          <w:ilvl w:val="0"/>
          <w:numId w:val="13"/>
        </w:numPr>
        <w:spacing w:after="120"/>
        <w:contextualSpacing w:val="0"/>
        <w:jc w:val="both"/>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Çdo kusht tjetër që BQK-ja e konsideron të përshtatshëm. </w:t>
      </w:r>
    </w:p>
    <w:p w:rsidR="00753B9E" w:rsidRPr="009D69D0" w:rsidRDefault="00753B9E" w:rsidP="009D69D0">
      <w:pPr>
        <w:spacing w:after="120"/>
        <w:jc w:val="both"/>
        <w:rPr>
          <w:rFonts w:ascii="Garamond" w:hAnsi="Garamond" w:cs="Andalus"/>
          <w:sz w:val="24"/>
          <w:lang w:val="sq-AL"/>
        </w:rPr>
      </w:pPr>
      <w:r w:rsidRPr="009D69D0">
        <w:rPr>
          <w:rFonts w:ascii="Garamond" w:hAnsi="Garamond" w:cs="Andalus"/>
          <w:sz w:val="24"/>
          <w:lang w:val="sq-AL"/>
        </w:rPr>
        <w:t>Mirëpo, BQK-ja refuzon një licencë, nëse sipas gjykimit të saj të arsyetuar, lëshimi i një licence të këtillë do të:</w:t>
      </w:r>
    </w:p>
    <w:p w:rsidR="00CC2377" w:rsidRPr="009D69D0" w:rsidRDefault="00CC2377" w:rsidP="009D69D0">
      <w:pPr>
        <w:pStyle w:val="ListParagraph"/>
        <w:numPr>
          <w:ilvl w:val="0"/>
          <w:numId w:val="10"/>
        </w:numPr>
        <w:spacing w:after="120"/>
        <w:contextualSpacing w:val="0"/>
        <w:rPr>
          <w:rFonts w:ascii="Garamond" w:eastAsia="Times New Roman" w:hAnsi="Garamond" w:cs="Andalus"/>
          <w:sz w:val="24"/>
          <w:lang w:val="sq-AL" w:eastAsia="tr-TR"/>
        </w:rPr>
      </w:pPr>
      <w:r w:rsidRPr="009D69D0">
        <w:rPr>
          <w:rFonts w:ascii="Garamond" w:eastAsia="Times New Roman" w:hAnsi="Garamond" w:cs="Andalus"/>
          <w:sz w:val="24"/>
          <w:lang w:val="sq-AL" w:eastAsia="tr-TR"/>
        </w:rPr>
        <w:t xml:space="preserve">Vinte në rrezik qëndrueshmërinë financiare të siguruesit të propozuar ose të industrisë së sigurimeve  në përgjithësi; </w:t>
      </w:r>
    </w:p>
    <w:p w:rsidR="004E75C8" w:rsidRPr="009D69D0" w:rsidRDefault="00CC2377" w:rsidP="009D69D0">
      <w:pPr>
        <w:pStyle w:val="ListParagraph"/>
        <w:numPr>
          <w:ilvl w:val="0"/>
          <w:numId w:val="10"/>
        </w:numPr>
        <w:spacing w:after="120"/>
        <w:contextualSpacing w:val="0"/>
        <w:rPr>
          <w:rFonts w:ascii="Garamond" w:eastAsia="Times New Roman" w:hAnsi="Garamond" w:cs="Andalus"/>
          <w:sz w:val="24"/>
          <w:lang w:val="sq-AL" w:eastAsia="tr-TR"/>
        </w:rPr>
      </w:pPr>
      <w:r w:rsidRPr="009D69D0">
        <w:rPr>
          <w:rFonts w:ascii="Garamond" w:eastAsia="Times New Roman" w:hAnsi="Garamond" w:cs="Andalus"/>
          <w:sz w:val="24"/>
          <w:lang w:val="sq-AL" w:eastAsia="tr-TR"/>
        </w:rPr>
        <w:t>Rrezikonte interesat e policëmbajtesve të siguruesit të propozuar</w:t>
      </w:r>
      <w:r w:rsidR="004E75C8" w:rsidRPr="009D69D0">
        <w:rPr>
          <w:rFonts w:ascii="Garamond" w:eastAsia="Times New Roman" w:hAnsi="Garamond" w:cs="Andalus"/>
          <w:sz w:val="24"/>
          <w:lang w:val="sq-AL" w:eastAsia="tr-TR"/>
        </w:rPr>
        <w:t xml:space="preserve">, dhe </w:t>
      </w:r>
    </w:p>
    <w:p w:rsidR="00753B9E" w:rsidRPr="009D69D0" w:rsidRDefault="004E75C8" w:rsidP="009D69D0">
      <w:pPr>
        <w:spacing w:after="120"/>
        <w:jc w:val="both"/>
        <w:rPr>
          <w:rFonts w:ascii="Garamond" w:hAnsi="Garamond" w:cs="Andalus"/>
          <w:sz w:val="24"/>
          <w:lang w:val="sq-AL"/>
        </w:rPr>
      </w:pPr>
      <w:r w:rsidRPr="009D69D0">
        <w:rPr>
          <w:rFonts w:ascii="Garamond" w:hAnsi="Garamond" w:cs="Andalus"/>
          <w:sz w:val="24"/>
          <w:lang w:val="sq-AL"/>
        </w:rPr>
        <w:t>Nëse brenda një (1) viti një siguruesi nuk vepron në përputhje me kushtet për marrjen e licencës për fillimin e veprimtarisë, miratimi paraprak i kërkesës do të revokohet.</w:t>
      </w:r>
    </w:p>
    <w:sectPr w:rsidR="00753B9E" w:rsidRPr="009D69D0" w:rsidSect="00F34D7D">
      <w:pgSz w:w="12240" w:h="15840"/>
      <w:pgMar w:top="126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5E"/>
    <w:multiLevelType w:val="hybridMultilevel"/>
    <w:tmpl w:val="5E58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B3BAF"/>
    <w:multiLevelType w:val="hybridMultilevel"/>
    <w:tmpl w:val="E3643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230013"/>
    <w:multiLevelType w:val="hybridMultilevel"/>
    <w:tmpl w:val="F236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02EB5"/>
    <w:multiLevelType w:val="hybridMultilevel"/>
    <w:tmpl w:val="BC023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16287"/>
    <w:multiLevelType w:val="hybridMultilevel"/>
    <w:tmpl w:val="A4969F4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47426C6"/>
    <w:multiLevelType w:val="hybridMultilevel"/>
    <w:tmpl w:val="EFC86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F1E8F"/>
    <w:multiLevelType w:val="hybridMultilevel"/>
    <w:tmpl w:val="E7FA0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301F8"/>
    <w:multiLevelType w:val="hybridMultilevel"/>
    <w:tmpl w:val="B7DAD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02252"/>
    <w:multiLevelType w:val="hybridMultilevel"/>
    <w:tmpl w:val="76F4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543EE"/>
    <w:multiLevelType w:val="hybridMultilevel"/>
    <w:tmpl w:val="85ACB66C"/>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E6520"/>
    <w:multiLevelType w:val="hybridMultilevel"/>
    <w:tmpl w:val="6F2A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71E13"/>
    <w:multiLevelType w:val="hybridMultilevel"/>
    <w:tmpl w:val="6D06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161AC"/>
    <w:multiLevelType w:val="hybridMultilevel"/>
    <w:tmpl w:val="0B700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4"/>
  </w:num>
  <w:num w:numId="5">
    <w:abstractNumId w:val="7"/>
  </w:num>
  <w:num w:numId="6">
    <w:abstractNumId w:val="12"/>
  </w:num>
  <w:num w:numId="7">
    <w:abstractNumId w:val="3"/>
  </w:num>
  <w:num w:numId="8">
    <w:abstractNumId w:val="2"/>
  </w:num>
  <w:num w:numId="9">
    <w:abstractNumId w:val="5"/>
  </w:num>
  <w:num w:numId="10">
    <w:abstractNumId w:val="8"/>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D8"/>
    <w:rsid w:val="00165ED8"/>
    <w:rsid w:val="0019650D"/>
    <w:rsid w:val="00284208"/>
    <w:rsid w:val="002B2B25"/>
    <w:rsid w:val="0032635D"/>
    <w:rsid w:val="003A2595"/>
    <w:rsid w:val="003A374E"/>
    <w:rsid w:val="00431169"/>
    <w:rsid w:val="004E75C8"/>
    <w:rsid w:val="00640B81"/>
    <w:rsid w:val="00753B9E"/>
    <w:rsid w:val="0086767C"/>
    <w:rsid w:val="009D69D0"/>
    <w:rsid w:val="00A42AD9"/>
    <w:rsid w:val="00B32142"/>
    <w:rsid w:val="00CC2377"/>
    <w:rsid w:val="00D42FFF"/>
    <w:rsid w:val="00E4035F"/>
    <w:rsid w:val="00E77A05"/>
    <w:rsid w:val="00F3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CC2377"/>
    <w:pPr>
      <w:spacing w:before="100" w:beforeAutospacing="1" w:after="100" w:afterAutospacing="1" w:line="240" w:lineRule="auto"/>
      <w:outlineLvl w:val="2"/>
    </w:pPr>
    <w:rPr>
      <w:rFonts w:ascii="Times New Roman" w:eastAsia="Times New Roman" w:hAnsi="Times New Roman" w:cs="Times New Roman"/>
      <w:b/>
      <w:bCs/>
      <w:noProof/>
      <w:sz w:val="27"/>
      <w:szCs w:val="27"/>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character" w:customStyle="1" w:styleId="Heading3Char">
    <w:name w:val="Heading 3 Char"/>
    <w:basedOn w:val="DefaultParagraphFont"/>
    <w:link w:val="Heading3"/>
    <w:uiPriority w:val="99"/>
    <w:rsid w:val="00CC2377"/>
    <w:rPr>
      <w:rFonts w:ascii="Times New Roman" w:eastAsia="Times New Roman" w:hAnsi="Times New Roman" w:cs="Times New Roman"/>
      <w:b/>
      <w:bCs/>
      <w:noProof/>
      <w:sz w:val="27"/>
      <w:szCs w:val="27"/>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CC2377"/>
    <w:pPr>
      <w:spacing w:before="100" w:beforeAutospacing="1" w:after="100" w:afterAutospacing="1" w:line="240" w:lineRule="auto"/>
      <w:outlineLvl w:val="2"/>
    </w:pPr>
    <w:rPr>
      <w:rFonts w:ascii="Times New Roman" w:eastAsia="Times New Roman" w:hAnsi="Times New Roman" w:cs="Times New Roman"/>
      <w:b/>
      <w:bCs/>
      <w:noProof/>
      <w:sz w:val="27"/>
      <w:szCs w:val="27"/>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character" w:customStyle="1" w:styleId="Heading3Char">
    <w:name w:val="Heading 3 Char"/>
    <w:basedOn w:val="DefaultParagraphFont"/>
    <w:link w:val="Heading3"/>
    <w:uiPriority w:val="99"/>
    <w:rsid w:val="00CC2377"/>
    <w:rPr>
      <w:rFonts w:ascii="Times New Roman" w:eastAsia="Times New Roman" w:hAnsi="Times New Roman" w:cs="Times New Roman"/>
      <w:b/>
      <w:bCs/>
      <w:noProof/>
      <w:sz w:val="27"/>
      <w:szCs w:val="27"/>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BQK</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 Lekaj</dc:creator>
  <cp:lastModifiedBy>Albulena Xhelili</cp:lastModifiedBy>
  <cp:revision>2</cp:revision>
  <dcterms:created xsi:type="dcterms:W3CDTF">2017-07-05T08:00:00Z</dcterms:created>
  <dcterms:modified xsi:type="dcterms:W3CDTF">2017-07-05T08:00:00Z</dcterms:modified>
</cp:coreProperties>
</file>